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4583E">
      <w:pPr>
        <w:pStyle w:val="28"/>
        <w:ind w:firstLine="0"/>
        <w:rPr>
          <w:lang w:val="zh-CN"/>
        </w:rPr>
      </w:pPr>
      <w:r>
        <w:rPr>
          <w:lang w:val="zh-CN"/>
        </w:rPr>
        <w:drawing>
          <wp:inline distT="0" distB="0" distL="114300" distR="114300">
            <wp:extent cx="6120130" cy="8822055"/>
            <wp:effectExtent l="0" t="0" r="13970" b="17145"/>
            <wp:docPr id="9" name="图片 9" descr="招标文件封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招标文件封皮"/>
                    <pic:cNvPicPr>
                      <a:picLocks noChangeAspect="1"/>
                    </pic:cNvPicPr>
                  </pic:nvPicPr>
                  <pic:blipFill>
                    <a:blip r:embed="rId13"/>
                    <a:stretch>
                      <a:fillRect/>
                    </a:stretch>
                  </pic:blipFill>
                  <pic:spPr>
                    <a:xfrm>
                      <a:off x="0" y="0"/>
                      <a:ext cx="6120130" cy="8822055"/>
                    </a:xfrm>
                    <a:prstGeom prst="rect">
                      <a:avLst/>
                    </a:prstGeom>
                  </pic:spPr>
                </pic:pic>
              </a:graphicData>
            </a:graphic>
          </wp:inline>
        </w:drawing>
      </w:r>
    </w:p>
    <w:p w14:paraId="262EFED6">
      <w:pPr>
        <w:pStyle w:val="28"/>
        <w:ind w:firstLine="0"/>
        <w:rPr>
          <w:lang w:val="zh-CN"/>
        </w:rPr>
      </w:pPr>
    </w:p>
    <w:p w14:paraId="5ED1D093">
      <w:pPr>
        <w:pStyle w:val="28"/>
        <w:ind w:firstLine="0"/>
        <w:rPr>
          <w:lang w:val="zh-CN"/>
        </w:rPr>
      </w:pPr>
    </w:p>
    <w:p w14:paraId="7B152486">
      <w:pPr>
        <w:pStyle w:val="28"/>
        <w:spacing w:line="360" w:lineRule="auto"/>
        <w:ind w:firstLine="0"/>
        <w:jc w:val="center"/>
        <w:rPr>
          <w:sz w:val="52"/>
          <w:szCs w:val="52"/>
          <w:lang w:val="zh-CN"/>
        </w:rPr>
      </w:pPr>
      <w:r>
        <w:rPr>
          <w:rFonts w:hint="eastAsia" w:asciiTheme="minorEastAsia" w:hAnsiTheme="minorEastAsia" w:eastAsiaTheme="minorEastAsia" w:cstheme="minorEastAsia"/>
          <w:b/>
          <w:bCs/>
          <w:sz w:val="52"/>
          <w:szCs w:val="52"/>
          <w:lang w:val="zh-CN"/>
        </w:rPr>
        <w:t>平顶山市湛河区教育体育局心理咨询室设备采购项目</w:t>
      </w:r>
    </w:p>
    <w:p w14:paraId="0241419A">
      <w:pPr>
        <w:pStyle w:val="29"/>
        <w:ind w:left="480" w:firstLine="480"/>
        <w:rPr>
          <w:lang w:val="zh-CN"/>
        </w:rPr>
      </w:pPr>
    </w:p>
    <w:p w14:paraId="63EFA95D">
      <w:pPr>
        <w:pStyle w:val="29"/>
        <w:ind w:left="480" w:firstLine="480"/>
        <w:rPr>
          <w:lang w:val="zh-CN"/>
        </w:rPr>
      </w:pPr>
    </w:p>
    <w:p w14:paraId="48E1725F">
      <w:pPr>
        <w:pStyle w:val="29"/>
        <w:ind w:left="480" w:firstLine="480"/>
        <w:rPr>
          <w:lang w:val="zh-CN"/>
        </w:rPr>
      </w:pPr>
    </w:p>
    <w:p w14:paraId="7F9C4BF2">
      <w:pPr>
        <w:pStyle w:val="29"/>
        <w:ind w:left="480" w:firstLine="480"/>
        <w:rPr>
          <w:lang w:val="zh-CN"/>
        </w:rPr>
      </w:pPr>
    </w:p>
    <w:p w14:paraId="00AC9085">
      <w:pPr>
        <w:pStyle w:val="28"/>
        <w:ind w:firstLine="0"/>
        <w:rPr>
          <w:lang w:val="zh-CN"/>
        </w:rPr>
      </w:pPr>
    </w:p>
    <w:p w14:paraId="7936823A">
      <w:pPr>
        <w:spacing w:line="276" w:lineRule="auto"/>
        <w:jc w:val="center"/>
        <w:rPr>
          <w:rFonts w:ascii="宋体" w:hAnsi="宋体" w:cs="宋体"/>
          <w:b/>
          <w:bCs/>
          <w:sz w:val="52"/>
          <w:szCs w:val="52"/>
          <w:lang w:val="zh-CN"/>
        </w:rPr>
      </w:pPr>
      <w:bookmarkStart w:id="0" w:name="_Toc10621"/>
      <w:bookmarkStart w:id="1" w:name="_Toc13672"/>
      <w:r>
        <w:rPr>
          <w:rFonts w:hint="eastAsia" w:ascii="宋体" w:hAnsi="宋体" w:cs="宋体"/>
          <w:b/>
          <w:bCs/>
          <w:sz w:val="72"/>
          <w:szCs w:val="72"/>
        </w:rPr>
        <w:t xml:space="preserve">招 标 </w:t>
      </w:r>
      <w:r>
        <w:rPr>
          <w:rFonts w:hint="eastAsia" w:ascii="宋体" w:hAnsi="宋体" w:cs="宋体"/>
          <w:b/>
          <w:bCs/>
          <w:sz w:val="72"/>
          <w:szCs w:val="72"/>
          <w:lang w:val="zh-CN"/>
        </w:rPr>
        <w:t>文</w:t>
      </w:r>
      <w:r>
        <w:rPr>
          <w:rFonts w:hint="eastAsia" w:ascii="宋体" w:hAnsi="宋体" w:cs="宋体"/>
          <w:b/>
          <w:bCs/>
          <w:sz w:val="72"/>
          <w:szCs w:val="72"/>
        </w:rPr>
        <w:t xml:space="preserve"> </w:t>
      </w:r>
      <w:r>
        <w:rPr>
          <w:rFonts w:hint="eastAsia" w:ascii="宋体" w:hAnsi="宋体" w:cs="宋体"/>
          <w:b/>
          <w:bCs/>
          <w:sz w:val="72"/>
          <w:szCs w:val="72"/>
          <w:lang w:val="zh-CN"/>
        </w:rPr>
        <w:t>件</w:t>
      </w:r>
      <w:bookmarkEnd w:id="0"/>
      <w:bookmarkEnd w:id="1"/>
    </w:p>
    <w:p w14:paraId="360482B7">
      <w:pPr>
        <w:pStyle w:val="18"/>
        <w:rPr>
          <w:lang w:val="zh-CN"/>
        </w:rPr>
      </w:pPr>
    </w:p>
    <w:p w14:paraId="6A92F0D6">
      <w:pPr>
        <w:pStyle w:val="18"/>
        <w:rPr>
          <w:lang w:val="zh-CN"/>
        </w:rPr>
      </w:pPr>
    </w:p>
    <w:p w14:paraId="7CFB4513">
      <w:pPr>
        <w:pStyle w:val="18"/>
        <w:rPr>
          <w:lang w:val="zh-CN"/>
        </w:rPr>
      </w:pPr>
    </w:p>
    <w:p w14:paraId="2F8B5BE3">
      <w:pPr>
        <w:pStyle w:val="18"/>
        <w:rPr>
          <w:lang w:val="zh-CN"/>
        </w:rPr>
      </w:pPr>
    </w:p>
    <w:p w14:paraId="17370F79">
      <w:pPr>
        <w:pStyle w:val="18"/>
        <w:rPr>
          <w:lang w:val="zh-CN"/>
        </w:rPr>
      </w:pPr>
    </w:p>
    <w:p w14:paraId="7C86E8C8">
      <w:pPr>
        <w:pStyle w:val="18"/>
        <w:rPr>
          <w:lang w:val="zh-CN"/>
        </w:rPr>
      </w:pPr>
    </w:p>
    <w:p w14:paraId="3E1B4E1B">
      <w:pPr>
        <w:pStyle w:val="18"/>
        <w:rPr>
          <w:lang w:val="zh-CN"/>
        </w:rPr>
      </w:pPr>
    </w:p>
    <w:p w14:paraId="45AB5C9F">
      <w:pPr>
        <w:pStyle w:val="18"/>
        <w:rPr>
          <w:lang w:val="zh-CN"/>
        </w:rPr>
      </w:pPr>
    </w:p>
    <w:p w14:paraId="1CC4144A">
      <w:pPr>
        <w:pStyle w:val="18"/>
        <w:rPr>
          <w:lang w:val="zh-CN"/>
        </w:rPr>
      </w:pPr>
    </w:p>
    <w:p w14:paraId="3CF7C0AF">
      <w:pPr>
        <w:pStyle w:val="18"/>
        <w:rPr>
          <w:lang w:val="zh-CN"/>
        </w:rPr>
      </w:pPr>
    </w:p>
    <w:p w14:paraId="21C9110F">
      <w:pPr>
        <w:pStyle w:val="18"/>
        <w:rPr>
          <w:lang w:val="zh-CN"/>
        </w:rPr>
      </w:pPr>
    </w:p>
    <w:p w14:paraId="2EEE80F2">
      <w:pPr>
        <w:pStyle w:val="28"/>
      </w:pPr>
    </w:p>
    <w:p w14:paraId="5E234F79">
      <w:pPr>
        <w:pStyle w:val="10"/>
        <w:rPr>
          <w:rFonts w:ascii="宋体" w:hAnsi="宋体" w:eastAsia="宋体" w:cs="宋体"/>
          <w:lang w:val="zh-CN"/>
        </w:rPr>
      </w:pPr>
    </w:p>
    <w:p w14:paraId="6933EDE0">
      <w:pPr>
        <w:pStyle w:val="10"/>
        <w:rPr>
          <w:rFonts w:ascii="宋体" w:hAnsi="宋体" w:eastAsia="宋体" w:cs="宋体"/>
          <w:lang w:val="zh-CN"/>
        </w:rPr>
      </w:pPr>
    </w:p>
    <w:p w14:paraId="4AD4FAD4">
      <w:pPr>
        <w:pStyle w:val="10"/>
        <w:rPr>
          <w:rFonts w:ascii="宋体" w:hAnsi="宋体" w:eastAsia="宋体" w:cs="宋体"/>
          <w:lang w:val="zh-CN"/>
        </w:rPr>
      </w:pPr>
    </w:p>
    <w:p w14:paraId="50F4AF3B">
      <w:pPr>
        <w:pStyle w:val="28"/>
        <w:rPr>
          <w:lang w:val="zh-CN"/>
        </w:rPr>
      </w:pPr>
    </w:p>
    <w:p w14:paraId="1A75B6A1">
      <w:pPr>
        <w:tabs>
          <w:tab w:val="left" w:pos="-1155"/>
          <w:tab w:val="left" w:pos="-1050"/>
        </w:tabs>
        <w:spacing w:line="360" w:lineRule="auto"/>
        <w:ind w:right="-382" w:rightChars="-159" w:firstLine="1747" w:firstLineChars="500"/>
        <w:rPr>
          <w:rFonts w:ascii="宋体" w:hAnsi="宋体" w:cs="宋体"/>
          <w:b/>
          <w:spacing w:val="-6"/>
          <w:sz w:val="36"/>
          <w:szCs w:val="22"/>
        </w:rPr>
      </w:pPr>
      <w:bookmarkStart w:id="2" w:name="_Toc8141"/>
      <w:bookmarkStart w:id="3" w:name="_Toc3713"/>
      <w:bookmarkStart w:id="4" w:name="_Toc25778"/>
      <w:bookmarkStart w:id="5" w:name="_Toc26917"/>
      <w:bookmarkStart w:id="6" w:name="_Toc23341"/>
      <w:bookmarkStart w:id="7" w:name="_Toc2902"/>
      <w:bookmarkStart w:id="8" w:name="_Toc26103"/>
      <w:bookmarkStart w:id="9" w:name="_Toc9409"/>
      <w:bookmarkStart w:id="10" w:name="_Toc20222"/>
      <w:bookmarkStart w:id="11" w:name="_Toc26783"/>
      <w:r>
        <w:rPr>
          <w:rFonts w:hint="eastAsia" w:ascii="宋体" w:hAnsi="宋体" w:cs="宋体"/>
          <w:b/>
          <w:spacing w:val="-6"/>
          <w:sz w:val="36"/>
          <w:szCs w:val="22"/>
        </w:rPr>
        <w:t>采 购 人：</w:t>
      </w:r>
      <w:r>
        <w:rPr>
          <w:rFonts w:hint="eastAsia" w:ascii="宋体" w:hAnsi="宋体" w:cs="宋体"/>
          <w:b/>
          <w:spacing w:val="-6"/>
          <w:sz w:val="36"/>
          <w:szCs w:val="22"/>
          <w:lang w:val="zh-CN"/>
        </w:rPr>
        <w:t>平顶山市湛河区教育体育局</w:t>
      </w:r>
    </w:p>
    <w:p w14:paraId="219AF72C">
      <w:pPr>
        <w:tabs>
          <w:tab w:val="left" w:pos="-1155"/>
          <w:tab w:val="left" w:pos="-1050"/>
        </w:tabs>
        <w:spacing w:line="360" w:lineRule="auto"/>
        <w:ind w:right="-382" w:rightChars="-159" w:firstLine="1747" w:firstLineChars="500"/>
        <w:rPr>
          <w:rFonts w:ascii="宋体" w:hAnsi="宋体" w:cs="宋体"/>
          <w:b/>
          <w:spacing w:val="-6"/>
          <w:sz w:val="36"/>
          <w:szCs w:val="22"/>
        </w:rPr>
      </w:pPr>
      <w:r>
        <w:rPr>
          <w:rFonts w:hint="eastAsia" w:ascii="宋体" w:hAnsi="宋体" w:cs="宋体"/>
          <w:b/>
          <w:spacing w:val="-6"/>
          <w:sz w:val="36"/>
          <w:szCs w:val="22"/>
        </w:rPr>
        <w:t>代理机构：</w:t>
      </w:r>
      <w:r>
        <w:rPr>
          <w:rFonts w:hint="eastAsia" w:ascii="宋体" w:hAnsi="宋体" w:cs="宋体"/>
          <w:b/>
          <w:spacing w:val="-6"/>
          <w:sz w:val="36"/>
          <w:szCs w:val="22"/>
          <w:lang w:val="zh-CN"/>
        </w:rPr>
        <w:t>河南易采工程管理有限公司</w:t>
      </w:r>
    </w:p>
    <w:p w14:paraId="5A35CB44">
      <w:pPr>
        <w:tabs>
          <w:tab w:val="left" w:pos="-1155"/>
          <w:tab w:val="left" w:pos="-1050"/>
        </w:tabs>
        <w:spacing w:line="360" w:lineRule="auto"/>
        <w:ind w:right="-382" w:rightChars="-159" w:firstLine="1747" w:firstLineChars="500"/>
        <w:rPr>
          <w:rFonts w:ascii="宋体" w:hAnsi="宋体" w:cs="宋体"/>
          <w:b/>
          <w:spacing w:val="-6"/>
          <w:sz w:val="36"/>
          <w:szCs w:val="22"/>
        </w:rPr>
      </w:pPr>
      <w:r>
        <w:rPr>
          <w:rFonts w:hint="eastAsia" w:ascii="宋体" w:hAnsi="宋体" w:cs="宋体"/>
          <w:b/>
          <w:spacing w:val="-6"/>
          <w:sz w:val="36"/>
          <w:szCs w:val="22"/>
        </w:rPr>
        <w:t>日    期：二零二</w:t>
      </w:r>
      <w:r>
        <w:rPr>
          <w:rFonts w:hint="eastAsia" w:ascii="宋体" w:hAnsi="宋体" w:cs="宋体"/>
          <w:b/>
          <w:spacing w:val="-6"/>
          <w:sz w:val="36"/>
          <w:szCs w:val="22"/>
          <w:lang w:val="en-US" w:eastAsia="zh-CN"/>
        </w:rPr>
        <w:t>六</w:t>
      </w:r>
      <w:r>
        <w:rPr>
          <w:rFonts w:hint="eastAsia" w:ascii="宋体" w:hAnsi="宋体" w:cs="宋体"/>
          <w:b/>
          <w:spacing w:val="-6"/>
          <w:sz w:val="36"/>
          <w:szCs w:val="22"/>
        </w:rPr>
        <w:t>年</w:t>
      </w:r>
      <w:r>
        <w:rPr>
          <w:rFonts w:hint="eastAsia" w:ascii="宋体" w:hAnsi="宋体" w:cs="宋体"/>
          <w:b/>
          <w:spacing w:val="-6"/>
          <w:sz w:val="36"/>
          <w:szCs w:val="22"/>
          <w:lang w:val="en-US" w:eastAsia="zh-CN"/>
        </w:rPr>
        <w:t>七</w:t>
      </w:r>
      <w:r>
        <w:rPr>
          <w:rFonts w:hint="eastAsia" w:ascii="宋体" w:hAnsi="宋体" w:cs="宋体"/>
          <w:b/>
          <w:spacing w:val="-6"/>
          <w:sz w:val="36"/>
          <w:szCs w:val="22"/>
        </w:rPr>
        <w:t>月</w:t>
      </w:r>
    </w:p>
    <w:p w14:paraId="19734B5F">
      <w:pPr>
        <w:pStyle w:val="28"/>
      </w:pPr>
    </w:p>
    <w:p w14:paraId="286781BD">
      <w:pPr>
        <w:jc w:val="center"/>
        <w:rPr>
          <w:rFonts w:ascii="宋体" w:hAnsi="宋体" w:cs="宋体"/>
          <w:b/>
          <w:bCs/>
          <w:sz w:val="32"/>
          <w:szCs w:val="32"/>
        </w:rPr>
        <w:sectPr>
          <w:headerReference r:id="rId4" w:type="first"/>
          <w:footerReference r:id="rId6" w:type="first"/>
          <w:headerReference r:id="rId3" w:type="default"/>
          <w:footerReference r:id="rId5" w:type="default"/>
          <w:pgSz w:w="11849" w:h="16781"/>
          <w:pgMar w:top="1440" w:right="1080" w:bottom="1440" w:left="1080" w:header="680" w:footer="992" w:gutter="0"/>
          <w:pgNumType w:start="1"/>
          <w:cols w:space="720" w:num="1"/>
          <w:titlePg/>
          <w:docGrid w:linePitch="397" w:charSpace="0"/>
        </w:sectPr>
      </w:pPr>
    </w:p>
    <w:bookmarkEnd w:id="2"/>
    <w:bookmarkEnd w:id="3"/>
    <w:bookmarkEnd w:id="4"/>
    <w:bookmarkEnd w:id="5"/>
    <w:bookmarkEnd w:id="6"/>
    <w:bookmarkEnd w:id="7"/>
    <w:bookmarkEnd w:id="8"/>
    <w:bookmarkEnd w:id="9"/>
    <w:bookmarkEnd w:id="10"/>
    <w:bookmarkEnd w:id="11"/>
    <w:sdt>
      <w:sdtPr>
        <w:rPr>
          <w:rFonts w:ascii="Times New Roman" w:hAnsi="Times New Roman" w:eastAsia="宋体" w:cs="Times New Roman"/>
          <w:b w:val="0"/>
          <w:bCs w:val="0"/>
          <w:color w:val="auto"/>
          <w:kern w:val="2"/>
          <w:sz w:val="48"/>
          <w:szCs w:val="48"/>
          <w:lang w:val="zh-CN"/>
        </w:rPr>
        <w:id w:val="-1"/>
        <w:docPartObj>
          <w:docPartGallery w:val="Table of Contents"/>
          <w:docPartUnique/>
        </w:docPartObj>
      </w:sdtPr>
      <w:sdtEndPr>
        <w:rPr>
          <w:rFonts w:ascii="Times New Roman" w:hAnsi="Times New Roman" w:eastAsia="宋体" w:cs="Times New Roman"/>
          <w:b w:val="0"/>
          <w:bCs w:val="0"/>
          <w:color w:val="auto"/>
          <w:kern w:val="2"/>
          <w:sz w:val="24"/>
          <w:szCs w:val="24"/>
          <w:lang w:val="zh-CN"/>
        </w:rPr>
      </w:sdtEndPr>
      <w:sdtContent>
        <w:p w14:paraId="729F1824">
          <w:pPr>
            <w:pStyle w:val="110"/>
            <w:spacing w:line="360" w:lineRule="auto"/>
            <w:jc w:val="center"/>
            <w:rPr>
              <w:rFonts w:asciiTheme="minorEastAsia" w:hAnsiTheme="minorEastAsia" w:eastAsiaTheme="minorEastAsia"/>
              <w:b w:val="0"/>
              <w:color w:val="auto"/>
              <w:sz w:val="36"/>
              <w:szCs w:val="36"/>
            </w:rPr>
          </w:pPr>
          <w:bookmarkStart w:id="12" w:name="_Toc14735"/>
          <w:bookmarkStart w:id="13" w:name="_Toc23537"/>
          <w:bookmarkStart w:id="14" w:name="_Toc17524"/>
          <w:bookmarkStart w:id="15" w:name="_Toc5772"/>
          <w:bookmarkStart w:id="16" w:name="_Toc9717_WPSOffice_Level1"/>
          <w:bookmarkStart w:id="17" w:name="_Toc31306"/>
          <w:bookmarkStart w:id="18" w:name="_Toc31309"/>
          <w:bookmarkStart w:id="19" w:name="_Toc26913"/>
          <w:bookmarkStart w:id="20" w:name="_Toc25127"/>
          <w:bookmarkStart w:id="21" w:name="_Toc18071"/>
          <w:bookmarkStart w:id="22" w:name="_Toc13561"/>
          <w:bookmarkStart w:id="23" w:name="_Toc22692_WPSOffice_Level1"/>
          <w:bookmarkStart w:id="24" w:name="_Toc26488"/>
          <w:bookmarkStart w:id="25" w:name="_Toc3727"/>
          <w:bookmarkStart w:id="26" w:name="_Toc25703"/>
          <w:bookmarkStart w:id="27" w:name="_Toc16632"/>
          <w:bookmarkStart w:id="28" w:name="_Toc17203"/>
          <w:bookmarkStart w:id="29" w:name="_Toc7666"/>
          <w:bookmarkStart w:id="30" w:name="_Toc14250"/>
          <w:bookmarkStart w:id="31" w:name="_Toc5164"/>
          <w:r>
            <w:rPr>
              <w:rFonts w:asciiTheme="minorEastAsia" w:hAnsiTheme="minorEastAsia" w:eastAsiaTheme="minorEastAsia"/>
              <w:b w:val="0"/>
              <w:color w:val="auto"/>
              <w:sz w:val="36"/>
              <w:szCs w:val="36"/>
              <w:lang w:val="zh-CN"/>
            </w:rPr>
            <w:t>目</w:t>
          </w:r>
          <w:r>
            <w:rPr>
              <w:rFonts w:hint="eastAsia" w:asciiTheme="minorEastAsia" w:hAnsiTheme="minorEastAsia" w:eastAsiaTheme="minorEastAsia"/>
              <w:b w:val="0"/>
              <w:color w:val="auto"/>
              <w:sz w:val="36"/>
              <w:szCs w:val="36"/>
              <w:lang w:val="zh-CN"/>
            </w:rPr>
            <w:t xml:space="preserve"> </w:t>
          </w:r>
          <w:r>
            <w:rPr>
              <w:rFonts w:asciiTheme="minorEastAsia" w:hAnsiTheme="minorEastAsia" w:eastAsiaTheme="minorEastAsia"/>
              <w:b w:val="0"/>
              <w:color w:val="auto"/>
              <w:sz w:val="36"/>
              <w:szCs w:val="36"/>
              <w:lang w:val="zh-CN"/>
            </w:rPr>
            <w:t>录</w:t>
          </w:r>
        </w:p>
        <w:p w14:paraId="27C144BD">
          <w:pPr>
            <w:pStyle w:val="21"/>
            <w:tabs>
              <w:tab w:val="right" w:leader="dot" w:pos="9689"/>
            </w:tabs>
            <w:spacing w:line="360" w:lineRule="auto"/>
            <w:rPr>
              <w:rFonts w:hint="eastAsia" w:asciiTheme="minorEastAsia" w:hAnsiTheme="minorEastAsia" w:eastAsiaTheme="minorEastAsia" w:cstheme="minorEastAsia"/>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TOC \o "1-3" \h \z \u </w:instrText>
          </w:r>
          <w:r>
            <w:rPr>
              <w:rFonts w:hint="eastAsia" w:ascii="宋体" w:hAnsi="宋体" w:cs="宋体"/>
              <w:sz w:val="21"/>
              <w:szCs w:val="21"/>
            </w:rPr>
            <w:fldChar w:fldCharType="separate"/>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_Toc14180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lang w:val="zh-CN"/>
            </w:rPr>
            <w:t>第一部分  招标公告</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_Toc14180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14:paraId="1A14F312">
          <w:pPr>
            <w:pStyle w:val="21"/>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_Toc14088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第二部分  供应商须知</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_Toc14088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4BA548C9">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_Toc15473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eastAsia="zh-CN"/>
            </w:rPr>
            <w:t>供应商</w:t>
          </w:r>
          <w:r>
            <w:rPr>
              <w:rFonts w:hint="eastAsia" w:asciiTheme="minorEastAsia" w:hAnsiTheme="minorEastAsia" w:eastAsiaTheme="minorEastAsia" w:cstheme="minorEastAsia"/>
              <w:bCs/>
              <w:sz w:val="21"/>
              <w:szCs w:val="21"/>
            </w:rPr>
            <w:t>须知前附表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_Toc15473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2F1DF737">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_Toc8424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一、说明</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_Toc8424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5AFCA15A">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_Toc20574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1、适用范围</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_Toc20574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259B7CA4">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_Toc15004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2、采购方式、合格的供应商</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_Toc15004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3D9029A6">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_Toc9325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3、投标费用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_Toc9325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12157AE4">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_Toc31214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二、招标文件说明</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_Toc31214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14FED7A9">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_Toc21054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4、招标文件的构成</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_Toc21054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55CD9C23">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_Toc29400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5、招标公告、招标文件、采购活动和中标结果的质疑</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_Toc29400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2B487295">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_Toc21526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6、招标文件的澄清或修改</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_Toc21526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727C9F39">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_Toc26667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三、投标文件的编制</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_Toc26667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7ABDF275">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_Toc16820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7、投标文件的语言及度量衡单位</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_Toc16820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6237A935">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_Toc31794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8、投标报价及币种</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_Toc31794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30DD3552">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_Toc7706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9、投标保证金</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_Toc7706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1AF3A0AD">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_Toc4139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10、投标有效期</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_Toc4139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538CFE3A">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_Toc3787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11、投标文件构成</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_Toc3787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037D4D58">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_Toc16352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12、投标文件的编制要求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_Toc16352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66FBBD20">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_Toc25461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四、投标文件的提交</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_Toc25461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31137044">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_Toc23335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13、电子化投标文件的格式及上传投标</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_Toc23335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368484D2">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_Toc30702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14、提交投标文件的时间、地点、方式</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_Toc30702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2225CB80">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_Toc21620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15、投标文件的补充、修改或者撤回</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_Toc21620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2109EC6B">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_Toc11012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五、开标</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_Toc11012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4848CC03">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_Toc5339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16、开标</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_Toc5339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7C111DEC">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_Toc14582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六、资格审查程序</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_Toc14582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435A2960">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_Toc26927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17、资格审查</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_Toc26927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26FA67E8">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_Toc32403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七、评审程序及方法</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_Toc32403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03260BC7">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_Toc6444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18、评标委员会</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_Toc6444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354EE9E9">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_Toc4676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19、评审工作程序</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_Toc4676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19</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6E32ADC3">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_Toc196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20、评审方法和标准</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_Toc196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20</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09DE51ED">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_Toc19096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八、中标</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_Toc19096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16313A2B">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_Toc1293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21、推荐并确定中标人</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_Toc1293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1FB36935">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_Toc17933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22、中标通知</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_Toc17933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69A79D20">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_Toc18783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九、授予合同</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_Toc18783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310DDA0E">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_Toc26146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23、签订合同</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_Toc26146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48FABDA6">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_Toc28323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十、招标代理费</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_Toc28323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4D1E4E3F">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_Toc32758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lang w:val="zh-CN"/>
            </w:rPr>
            <w:t>十一、其他</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_Toc32758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097C6949">
          <w:pPr>
            <w:pStyle w:val="21"/>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_Toc13798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第三部分  合同条款</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_Toc13798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72A4B48F">
          <w:pPr>
            <w:pStyle w:val="21"/>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_Toc22284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第四部分  投标文件格式</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_Toc22284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646E130C">
          <w:pPr>
            <w:pStyle w:val="13"/>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_Toc26791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目录</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_Toc26791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32</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2A02CC59">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_Toc23265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一、投标函</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_Toc23265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096D0DE2">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_Toc15487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二、开标一览表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_Toc15487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522B797D">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_Toc21773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三、法定代表人身份证明和授权委托书</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_Toc21773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0D1B8854">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_Toc30982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四、 投标货物分项报价表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_Toc30982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4605E28A">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_Toc24146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五、技术参数响应/偏离表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_Toc24146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38</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68A3A82B">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_Toc22901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六、项目实施方案</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_Toc22901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39</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0BC83FE9">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_Toc19171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七、服务方案及服务承诺</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_Toc19171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40</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7F427AEF">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_Toc25157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八、资格证明文件</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_Toc25157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05922620">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_Toc23696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九、招标代理费支付承诺</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_Toc23696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19E4DFA7">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_Toc25098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十、投标承诺函</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_Toc25098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12CE85E8">
          <w:pPr>
            <w:pStyle w:val="22"/>
            <w:tabs>
              <w:tab w:val="right" w:leader="dot" w:pos="9689"/>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_Toc4987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sz w:val="21"/>
              <w:szCs w:val="21"/>
            </w:rPr>
            <w:t>十一、其他资料</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_Toc4987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075B1AF2">
          <w:pPr>
            <w:pStyle w:val="21"/>
            <w:tabs>
              <w:tab w:val="right" w:leader="dot" w:pos="9689"/>
            </w:tabs>
            <w:spacing w:line="360" w:lineRule="auto"/>
          </w:pPr>
          <w:r>
            <w:rPr>
              <w:rFonts w:hint="eastAsia" w:asciiTheme="minorEastAsia" w:hAnsiTheme="minorEastAsia" w:eastAsiaTheme="minorEastAsia" w:cstheme="minorEastAsia"/>
              <w:bCs/>
              <w:sz w:val="21"/>
              <w:szCs w:val="21"/>
              <w:lang w:val="zh-CN"/>
            </w:rPr>
            <w:fldChar w:fldCharType="begin"/>
          </w:r>
          <w:r>
            <w:rPr>
              <w:rFonts w:hint="eastAsia" w:asciiTheme="minorEastAsia" w:hAnsiTheme="minorEastAsia" w:eastAsiaTheme="minorEastAsia" w:cstheme="minorEastAsia"/>
              <w:bCs/>
              <w:sz w:val="21"/>
              <w:szCs w:val="21"/>
              <w:lang w:val="zh-CN"/>
            </w:rPr>
            <w:instrText xml:space="preserve"> HYPERLINK \l _Toc7354 </w:instrText>
          </w:r>
          <w:r>
            <w:rPr>
              <w:rFonts w:hint="eastAsia" w:asciiTheme="minorEastAsia" w:hAnsiTheme="minorEastAsia" w:eastAsiaTheme="minorEastAsia" w:cstheme="minorEastAsia"/>
              <w:bCs/>
              <w:sz w:val="21"/>
              <w:szCs w:val="21"/>
              <w:lang w:val="zh-CN"/>
            </w:rPr>
            <w:fldChar w:fldCharType="separate"/>
          </w:r>
          <w:r>
            <w:rPr>
              <w:rFonts w:hint="eastAsia" w:asciiTheme="minorEastAsia" w:hAnsiTheme="minorEastAsia" w:eastAsiaTheme="minorEastAsia" w:cstheme="minorEastAsia"/>
              <w:bCs/>
              <w:sz w:val="21"/>
              <w:szCs w:val="21"/>
              <w:lang w:val="zh-CN"/>
            </w:rPr>
            <w:t>第五部分 采购内容及技术参数要求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_Toc7354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bCs/>
              <w:sz w:val="21"/>
              <w:szCs w:val="21"/>
              <w:lang w:val="zh-CN"/>
            </w:rPr>
            <w:fldChar w:fldCharType="end"/>
          </w:r>
        </w:p>
        <w:p w14:paraId="30D9BB67">
          <w:pPr>
            <w:spacing w:line="360" w:lineRule="auto"/>
          </w:pPr>
          <w:r>
            <w:rPr>
              <w:rFonts w:hint="eastAsia" w:ascii="宋体" w:hAnsi="宋体" w:cs="宋体"/>
              <w:bCs/>
              <w:szCs w:val="21"/>
              <w:lang w:val="zh-CN"/>
            </w:rPr>
            <w:fldChar w:fldCharType="end"/>
          </w:r>
        </w:p>
      </w:sdtContent>
    </w:sdt>
    <w:p w14:paraId="05D92957">
      <w:pPr>
        <w:spacing w:line="360" w:lineRule="auto"/>
        <w:rPr>
          <w:rFonts w:ascii="宋体" w:hAnsi="宋体" w:cs="宋体"/>
          <w:sz w:val="21"/>
          <w:szCs w:val="21"/>
        </w:rPr>
      </w:pPr>
    </w:p>
    <w:p w14:paraId="05484B08">
      <w:pPr>
        <w:rPr>
          <w:rFonts w:ascii="宋体" w:hAnsi="宋体" w:cs="宋体"/>
        </w:rPr>
      </w:pPr>
    </w:p>
    <w:p w14:paraId="6433FB57">
      <w:pPr>
        <w:rPr>
          <w:rFonts w:ascii="宋体" w:hAnsi="宋体" w:cs="宋体"/>
        </w:rPr>
      </w:pPr>
    </w:p>
    <w:p w14:paraId="75523B4E">
      <w:pPr>
        <w:rPr>
          <w:rFonts w:ascii="宋体" w:hAnsi="宋体" w:cs="宋体"/>
        </w:rPr>
      </w:pPr>
    </w:p>
    <w:p w14:paraId="13E4B5E3">
      <w:pPr>
        <w:rPr>
          <w:rFonts w:ascii="宋体" w:hAnsi="宋体" w:cs="宋体"/>
        </w:rPr>
      </w:pPr>
    </w:p>
    <w:p w14:paraId="5BC7AFA4">
      <w:pPr>
        <w:pStyle w:val="26"/>
        <w:spacing w:before="0" w:after="0" w:line="360" w:lineRule="auto"/>
        <w:rPr>
          <w:rFonts w:ascii="宋体" w:hAnsi="宋体" w:cs="宋体"/>
          <w:szCs w:val="36"/>
          <w:lang w:val="zh-CN"/>
        </w:rPr>
        <w:sectPr>
          <w:footerReference r:id="rId8" w:type="first"/>
          <w:footerReference r:id="rId7" w:type="default"/>
          <w:pgSz w:w="11849" w:h="16781"/>
          <w:pgMar w:top="1440" w:right="1080" w:bottom="1440" w:left="1080" w:header="680" w:footer="992" w:gutter="0"/>
          <w:pgNumType w:start="1"/>
          <w:cols w:space="720" w:num="1"/>
          <w:docGrid w:linePitch="397" w:charSpace="0"/>
        </w:sectPr>
      </w:pPr>
      <w:bookmarkStart w:id="32" w:name="_Toc1382"/>
      <w:bookmarkStart w:id="33" w:name="_Toc30138"/>
    </w:p>
    <w:p w14:paraId="6FED1EB0">
      <w:pPr>
        <w:pStyle w:val="26"/>
        <w:spacing w:before="0" w:after="0" w:line="360" w:lineRule="auto"/>
        <w:rPr>
          <w:rFonts w:ascii="宋体" w:hAnsi="宋体" w:cs="宋体"/>
          <w:szCs w:val="36"/>
          <w:lang w:val="zh-CN"/>
        </w:rPr>
      </w:pPr>
      <w:bookmarkStart w:id="34" w:name="_Toc14180"/>
      <w:bookmarkStart w:id="35" w:name="_Toc31512"/>
      <w:r>
        <w:rPr>
          <w:rFonts w:hint="eastAsia" w:ascii="宋体" w:hAnsi="宋体" w:cs="宋体"/>
          <w:szCs w:val="36"/>
          <w:lang w:val="zh-CN"/>
        </w:rPr>
        <w:t xml:space="preserve">第一部分  </w:t>
      </w:r>
      <w:bookmarkEnd w:id="12"/>
      <w:r>
        <w:rPr>
          <w:rFonts w:hint="eastAsia" w:ascii="宋体" w:hAnsi="宋体" w:cs="宋体"/>
          <w:szCs w:val="36"/>
          <w:lang w:val="zh-CN"/>
        </w:rPr>
        <w:t>招标公告</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508957A0">
      <w:pPr>
        <w:spacing w:line="460" w:lineRule="exact"/>
        <w:jc w:val="center"/>
        <w:rPr>
          <w:rFonts w:ascii="宋体" w:hAnsi="宋体" w:cs="宋体"/>
          <w:b/>
          <w:bCs/>
          <w:sz w:val="32"/>
          <w:szCs w:val="32"/>
        </w:rPr>
      </w:pPr>
      <w:bookmarkStart w:id="36" w:name="_Hlk96347323"/>
      <w:bookmarkStart w:id="37" w:name="_Toc428180535"/>
      <w:r>
        <w:rPr>
          <w:rFonts w:hint="eastAsia" w:ascii="宋体" w:hAnsi="宋体" w:cs="宋体"/>
          <w:b/>
          <w:bCs/>
          <w:sz w:val="32"/>
          <w:szCs w:val="32"/>
          <w:lang w:val="zh-CN"/>
        </w:rPr>
        <w:t>【平公资采2026786号】平顶山市湛河区教育体育局心理咨询室设备采购项目</w:t>
      </w:r>
      <w:r>
        <w:rPr>
          <w:rFonts w:hint="eastAsia" w:ascii="宋体" w:hAnsi="宋体" w:cs="宋体"/>
          <w:b/>
          <w:bCs/>
          <w:sz w:val="32"/>
          <w:szCs w:val="32"/>
        </w:rPr>
        <w:t>招标公告</w:t>
      </w:r>
    </w:p>
    <w:p w14:paraId="03F850F4">
      <w:pPr>
        <w:pStyle w:val="28"/>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项目概况</w:t>
      </w:r>
    </w:p>
    <w:p w14:paraId="0C816571">
      <w:pPr>
        <w:pStyle w:val="28"/>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平顶山市湛河区教育体育局心理咨询室设备采购项目</w:t>
      </w:r>
      <w:r>
        <w:rPr>
          <w:rFonts w:hint="eastAsia" w:asciiTheme="minorEastAsia" w:hAnsiTheme="minorEastAsia" w:eastAsiaTheme="minorEastAsia" w:cstheme="minorEastAsia"/>
          <w:sz w:val="21"/>
          <w:szCs w:val="21"/>
        </w:rPr>
        <w:t>的潜在</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应在平顶山市公共资源交易中心网(http://ggzy.pds.gov.cn/)获取招标文件，并于202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 xml:space="preserve">18 </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00</w:t>
      </w:r>
      <w:r>
        <w:rPr>
          <w:rFonts w:hint="eastAsia" w:asciiTheme="minorEastAsia" w:hAnsiTheme="minorEastAsia" w:eastAsiaTheme="minorEastAsia" w:cstheme="minorEastAsia"/>
          <w:sz w:val="21"/>
          <w:szCs w:val="21"/>
        </w:rPr>
        <w:t>分（北京时间）前递交投标文件。</w:t>
      </w:r>
    </w:p>
    <w:bookmarkEnd w:id="36"/>
    <w:p w14:paraId="395FCDBC">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一、项目基本情况</w:t>
      </w:r>
    </w:p>
    <w:p w14:paraId="34A6BC2C">
      <w:pPr>
        <w:spacing w:line="360" w:lineRule="auto"/>
        <w:ind w:firstLine="422" w:firstLineChars="200"/>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bCs/>
          <w:sz w:val="21"/>
          <w:szCs w:val="21"/>
        </w:rPr>
        <w:t>1、项目编号：</w:t>
      </w:r>
      <w:r>
        <w:rPr>
          <w:rFonts w:hint="eastAsia" w:asciiTheme="minorEastAsia" w:hAnsiTheme="minorEastAsia" w:eastAsiaTheme="minorEastAsia" w:cstheme="minorEastAsia"/>
          <w:b w:val="0"/>
          <w:bCs w:val="0"/>
          <w:sz w:val="21"/>
          <w:szCs w:val="21"/>
          <w:lang w:val="en-US" w:eastAsia="zh-CN"/>
        </w:rPr>
        <w:t xml:space="preserve">平湛采招标-2026-11 </w:t>
      </w:r>
    </w:p>
    <w:p w14:paraId="3DCF6140">
      <w:pPr>
        <w:spacing w:line="360" w:lineRule="auto"/>
        <w:ind w:firstLine="422" w:firstLineChars="200"/>
        <w:rPr>
          <w:rFonts w:hint="eastAsia" w:asciiTheme="minorEastAsia" w:hAnsiTheme="minorEastAsia" w:eastAsiaTheme="minorEastAsia" w:cstheme="minorEastAsia"/>
          <w:b w:val="0"/>
          <w:bCs w:val="0"/>
          <w:sz w:val="21"/>
          <w:szCs w:val="21"/>
          <w:lang w:eastAsia="zh-CN"/>
        </w:rPr>
      </w:pPr>
      <w:r>
        <w:rPr>
          <w:rFonts w:hint="eastAsia" w:asciiTheme="minorEastAsia" w:hAnsiTheme="minorEastAsia" w:eastAsiaTheme="minorEastAsia" w:cstheme="minorEastAsia"/>
          <w:b/>
          <w:bCs/>
          <w:sz w:val="21"/>
          <w:szCs w:val="21"/>
        </w:rPr>
        <w:t>2、项目名称：</w:t>
      </w:r>
      <w:r>
        <w:rPr>
          <w:rFonts w:hint="eastAsia" w:asciiTheme="minorEastAsia" w:hAnsiTheme="minorEastAsia" w:eastAsiaTheme="minorEastAsia" w:cstheme="minorEastAsia"/>
          <w:b w:val="0"/>
          <w:bCs w:val="0"/>
          <w:sz w:val="21"/>
          <w:szCs w:val="21"/>
          <w:lang w:eastAsia="zh-CN"/>
        </w:rPr>
        <w:t>平顶山市湛河区教育体育局心理咨询室设备采购项目</w:t>
      </w:r>
    </w:p>
    <w:p w14:paraId="6C315C2B">
      <w:pPr>
        <w:spacing w:line="360" w:lineRule="auto"/>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3、采购方式：</w:t>
      </w:r>
      <w:r>
        <w:rPr>
          <w:rFonts w:hint="eastAsia" w:asciiTheme="minorEastAsia" w:hAnsiTheme="minorEastAsia" w:eastAsiaTheme="minorEastAsia" w:cstheme="minorEastAsia"/>
          <w:bCs/>
          <w:sz w:val="21"/>
          <w:szCs w:val="21"/>
        </w:rPr>
        <w:t>公开招标</w:t>
      </w:r>
    </w:p>
    <w:p w14:paraId="1DF99E21">
      <w:pPr>
        <w:spacing w:line="360" w:lineRule="auto"/>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4、预算金额：</w:t>
      </w:r>
      <w:r>
        <w:rPr>
          <w:rFonts w:hint="eastAsia" w:asciiTheme="minorEastAsia" w:hAnsiTheme="minorEastAsia" w:eastAsiaTheme="minorEastAsia" w:cstheme="minorEastAsia"/>
          <w:b w:val="0"/>
          <w:bCs/>
          <w:sz w:val="21"/>
          <w:szCs w:val="21"/>
          <w:lang w:val="en-US" w:eastAsia="zh-CN"/>
        </w:rPr>
        <w:t>924000.00</w:t>
      </w:r>
      <w:r>
        <w:rPr>
          <w:rFonts w:hint="eastAsia" w:asciiTheme="minorEastAsia" w:hAnsiTheme="minorEastAsia" w:eastAsiaTheme="minorEastAsia" w:cstheme="minorEastAsia"/>
          <w:b w:val="0"/>
          <w:bCs/>
          <w:sz w:val="21"/>
          <w:szCs w:val="21"/>
        </w:rPr>
        <w:t>元</w:t>
      </w:r>
      <w:r>
        <w:rPr>
          <w:rFonts w:hint="eastAsia" w:asciiTheme="minorEastAsia" w:hAnsiTheme="minorEastAsia" w:eastAsiaTheme="minorEastAsia" w:cstheme="minorEastAsia"/>
          <w:sz w:val="21"/>
          <w:szCs w:val="21"/>
        </w:rPr>
        <w:t>；最高限价：</w:t>
      </w:r>
      <w:r>
        <w:rPr>
          <w:rFonts w:hint="eastAsia" w:asciiTheme="minorEastAsia" w:hAnsiTheme="minorEastAsia" w:eastAsiaTheme="minorEastAsia" w:cstheme="minorEastAsia"/>
          <w:b w:val="0"/>
          <w:bCs/>
          <w:sz w:val="21"/>
          <w:szCs w:val="21"/>
          <w:lang w:val="en-US" w:eastAsia="zh-CN"/>
        </w:rPr>
        <w:t>924000.00</w:t>
      </w:r>
      <w:r>
        <w:rPr>
          <w:rFonts w:hint="eastAsia" w:asciiTheme="minorEastAsia" w:hAnsiTheme="minorEastAsia" w:eastAsiaTheme="minorEastAsia" w:cstheme="minorEastAsia"/>
          <w:sz w:val="21"/>
          <w:szCs w:val="21"/>
        </w:rPr>
        <w:t>元。</w:t>
      </w:r>
    </w:p>
    <w:tbl>
      <w:tblPr>
        <w:tblStyle w:val="30"/>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193"/>
        <w:gridCol w:w="3686"/>
        <w:gridCol w:w="1420"/>
        <w:gridCol w:w="1826"/>
      </w:tblGrid>
      <w:tr w14:paraId="511A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367" w:type="pct"/>
            <w:vAlign w:val="center"/>
          </w:tcPr>
          <w:p w14:paraId="6EC4896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113" w:type="pct"/>
            <w:vAlign w:val="center"/>
          </w:tcPr>
          <w:p w14:paraId="248F4A5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包号</w:t>
            </w:r>
          </w:p>
        </w:tc>
        <w:tc>
          <w:tcPr>
            <w:tcW w:w="1871" w:type="pct"/>
            <w:vAlign w:val="center"/>
          </w:tcPr>
          <w:p w14:paraId="1ED18FA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包名称</w:t>
            </w:r>
          </w:p>
        </w:tc>
        <w:tc>
          <w:tcPr>
            <w:tcW w:w="721" w:type="pct"/>
            <w:vAlign w:val="center"/>
          </w:tcPr>
          <w:p w14:paraId="0E7FD00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包预算（元）</w:t>
            </w:r>
          </w:p>
        </w:tc>
        <w:tc>
          <w:tcPr>
            <w:tcW w:w="927" w:type="pct"/>
            <w:vAlign w:val="center"/>
          </w:tcPr>
          <w:p w14:paraId="5E8B96A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包最高限价（元）</w:t>
            </w:r>
          </w:p>
        </w:tc>
      </w:tr>
      <w:tr w14:paraId="4A0D1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367" w:type="pct"/>
            <w:vAlign w:val="center"/>
          </w:tcPr>
          <w:p w14:paraId="0A18543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113" w:type="pct"/>
            <w:vAlign w:val="center"/>
          </w:tcPr>
          <w:p w14:paraId="1B1BA84C">
            <w:pPr>
              <w:pStyle w:val="18"/>
              <w:spacing w:line="36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平公资采</w:t>
            </w:r>
            <w:r>
              <w:rPr>
                <w:rFonts w:hint="eastAsia" w:asciiTheme="minorEastAsia" w:hAnsiTheme="minorEastAsia" w:eastAsiaTheme="minorEastAsia" w:cstheme="minorEastAsia"/>
                <w:sz w:val="21"/>
                <w:szCs w:val="21"/>
                <w:lang w:val="zh-CN"/>
              </w:rPr>
              <w:t>202</w:t>
            </w:r>
            <w:r>
              <w:rPr>
                <w:rFonts w:hint="eastAsia" w:asciiTheme="minorEastAsia" w:hAnsiTheme="minorEastAsia" w:eastAsiaTheme="minorEastAsia" w:cstheme="minorEastAsia"/>
                <w:sz w:val="21"/>
                <w:szCs w:val="21"/>
                <w:lang w:val="en-US" w:eastAsia="zh-CN"/>
              </w:rPr>
              <w:t>62026786</w:t>
            </w:r>
            <w:r>
              <w:rPr>
                <w:rFonts w:hint="eastAsia" w:asciiTheme="minorEastAsia" w:hAnsiTheme="minorEastAsia" w:eastAsiaTheme="minorEastAsia" w:cstheme="minorEastAsia"/>
                <w:sz w:val="21"/>
                <w:szCs w:val="21"/>
              </w:rPr>
              <w:t>号</w:t>
            </w:r>
            <w:r>
              <w:rPr>
                <w:rFonts w:hint="eastAsia" w:asciiTheme="minorEastAsia" w:hAnsiTheme="minorEastAsia" w:eastAsiaTheme="minorEastAsia" w:cstheme="minorEastAsia"/>
                <w:sz w:val="21"/>
                <w:szCs w:val="21"/>
                <w:lang w:val="en-US" w:eastAsia="zh-CN"/>
              </w:rPr>
              <w:t>-1</w:t>
            </w:r>
          </w:p>
        </w:tc>
        <w:tc>
          <w:tcPr>
            <w:tcW w:w="1871" w:type="pct"/>
            <w:vAlign w:val="center"/>
          </w:tcPr>
          <w:p w14:paraId="542843F5">
            <w:pPr>
              <w:pStyle w:val="18"/>
              <w:spacing w:line="36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平顶山市湛河区教育体育局心理咨询室设备采购项目</w:t>
            </w:r>
          </w:p>
        </w:tc>
        <w:tc>
          <w:tcPr>
            <w:tcW w:w="721" w:type="pct"/>
            <w:vAlign w:val="center"/>
          </w:tcPr>
          <w:p w14:paraId="5D60246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bCs/>
                <w:sz w:val="21"/>
                <w:szCs w:val="21"/>
                <w:lang w:val="en-US" w:eastAsia="zh-CN"/>
              </w:rPr>
              <w:t>924000.00</w:t>
            </w:r>
          </w:p>
        </w:tc>
        <w:tc>
          <w:tcPr>
            <w:tcW w:w="927" w:type="pct"/>
            <w:vAlign w:val="center"/>
          </w:tcPr>
          <w:p w14:paraId="4DE5D0F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bCs/>
                <w:sz w:val="21"/>
                <w:szCs w:val="21"/>
                <w:lang w:val="en-US" w:eastAsia="zh-CN"/>
              </w:rPr>
              <w:t>924000.00</w:t>
            </w:r>
          </w:p>
        </w:tc>
      </w:tr>
    </w:tbl>
    <w:p w14:paraId="55DF764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5、采购需求（包括但不限于标的的名称、数量、简要技术需求或服务要求等）</w:t>
      </w:r>
    </w:p>
    <w:p w14:paraId="2E585A36">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Cs/>
          <w:color w:val="auto"/>
          <w:sz w:val="21"/>
          <w:szCs w:val="21"/>
        </w:rPr>
        <w:t>（1）</w:t>
      </w:r>
      <w:r>
        <w:rPr>
          <w:rFonts w:hint="eastAsia" w:asciiTheme="minorEastAsia" w:hAnsiTheme="minorEastAsia" w:eastAsiaTheme="minorEastAsia" w:cstheme="minorEastAsia"/>
          <w:color w:val="auto"/>
          <w:sz w:val="21"/>
          <w:szCs w:val="21"/>
        </w:rPr>
        <w:t>采购内容：拟采购</w:t>
      </w:r>
      <w:r>
        <w:rPr>
          <w:rFonts w:hint="eastAsia" w:asciiTheme="minorEastAsia" w:hAnsiTheme="minorEastAsia" w:eastAsiaTheme="minorEastAsia" w:cstheme="minorEastAsia"/>
          <w:color w:val="auto"/>
          <w:sz w:val="21"/>
          <w:szCs w:val="21"/>
          <w:lang w:eastAsia="zh-CN"/>
        </w:rPr>
        <w:t>心理咨询室设备</w:t>
      </w:r>
      <w:r>
        <w:rPr>
          <w:rFonts w:hint="eastAsia" w:asciiTheme="minorEastAsia" w:hAnsiTheme="minorEastAsia" w:eastAsiaTheme="minorEastAsia" w:cstheme="minorEastAsia"/>
          <w:color w:val="auto"/>
          <w:sz w:val="21"/>
          <w:szCs w:val="21"/>
        </w:rPr>
        <w:t>一批（详见采购文件）；</w:t>
      </w:r>
    </w:p>
    <w:p w14:paraId="7E99F47D">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（2）质量要求：符合国家或行业相关标准，质量合格；</w:t>
      </w:r>
    </w:p>
    <w:p w14:paraId="1AA1DEA7">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（3）交货地点：采购人指定地点；</w:t>
      </w:r>
    </w:p>
    <w:p w14:paraId="4213DE6A">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（4）供货及安装期：合同签订后20日历天内供货安装完毕。</w:t>
      </w:r>
    </w:p>
    <w:p w14:paraId="1D1E3D37">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6、合同履约期限：/</w:t>
      </w:r>
    </w:p>
    <w:p w14:paraId="3052C14C">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7、本项目是否接受联合体投标：</w:t>
      </w:r>
      <w:r>
        <w:rPr>
          <w:rFonts w:hint="eastAsia" w:asciiTheme="minorEastAsia" w:hAnsiTheme="minorEastAsia" w:eastAsiaTheme="minorEastAsia" w:cstheme="minorEastAsia"/>
          <w:bCs/>
          <w:sz w:val="21"/>
          <w:szCs w:val="21"/>
        </w:rPr>
        <w:t>否</w:t>
      </w:r>
    </w:p>
    <w:p w14:paraId="7D104A84">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8、是否接受进口产品：</w:t>
      </w:r>
      <w:r>
        <w:rPr>
          <w:rFonts w:hint="eastAsia" w:asciiTheme="minorEastAsia" w:hAnsiTheme="minorEastAsia" w:eastAsiaTheme="minorEastAsia" w:cstheme="minorEastAsia"/>
          <w:bCs/>
          <w:sz w:val="21"/>
          <w:szCs w:val="21"/>
        </w:rPr>
        <w:t>否</w:t>
      </w:r>
    </w:p>
    <w:p w14:paraId="1F513C0E">
      <w:pPr>
        <w:pStyle w:val="28"/>
        <w:spacing w:line="360" w:lineRule="auto"/>
        <w:ind w:firstLineChars="199"/>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9、是否专门面向中小企业：</w:t>
      </w:r>
      <w:r>
        <w:rPr>
          <w:rFonts w:hint="eastAsia" w:asciiTheme="minorEastAsia" w:hAnsiTheme="minorEastAsia" w:eastAsiaTheme="minorEastAsia" w:cstheme="minorEastAsia"/>
          <w:bCs/>
          <w:sz w:val="21"/>
          <w:szCs w:val="21"/>
        </w:rPr>
        <w:t>否。</w:t>
      </w:r>
    </w:p>
    <w:p w14:paraId="04348D7D">
      <w:pPr>
        <w:pStyle w:val="28"/>
        <w:spacing w:line="360" w:lineRule="auto"/>
        <w:ind w:firstLine="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二、申请人资格要求：</w:t>
      </w:r>
    </w:p>
    <w:p w14:paraId="16D9FC98">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1、满足《中华人民共和国政府采购法》第二十二条规定；</w:t>
      </w:r>
    </w:p>
    <w:p w14:paraId="68E31B37">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2、落实政府采购政策满足的资格要求：/</w:t>
      </w:r>
      <w:r>
        <w:rPr>
          <w:rFonts w:hint="eastAsia" w:asciiTheme="minorEastAsia" w:hAnsiTheme="minorEastAsia" w:eastAsiaTheme="minorEastAsia" w:cstheme="minorEastAsia"/>
          <w:bCs/>
          <w:sz w:val="21"/>
          <w:szCs w:val="21"/>
        </w:rPr>
        <w:t>；</w:t>
      </w:r>
      <w:bookmarkStart w:id="1145" w:name="_GoBack"/>
      <w:bookmarkEnd w:id="1145"/>
    </w:p>
    <w:p w14:paraId="4D85052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3、本项目的特定资格要求</w:t>
      </w:r>
    </w:p>
    <w:p w14:paraId="1B4A936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3.1</w:t>
      </w:r>
      <w:r>
        <w:rPr>
          <w:rFonts w:hint="eastAsia" w:ascii="宋体" w:hAnsi="宋体" w:eastAsia="宋体" w:cs="宋体"/>
          <w:sz w:val="21"/>
          <w:szCs w:val="21"/>
        </w:rPr>
        <w:t>具有独立承担民事责任的能力；（提供有效的营业执照、税务登记证、组织机构代码证或三证合一营业执照，也可提供电子营业执照）；</w:t>
      </w:r>
    </w:p>
    <w:p w14:paraId="6D2980DB">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2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w:t>
      </w:r>
      <w:r>
        <w:rPr>
          <w:rFonts w:hint="eastAsia" w:ascii="宋体" w:hAnsi="宋体" w:cs="宋体"/>
          <w:sz w:val="21"/>
          <w:szCs w:val="21"/>
          <w:lang w:val="en-US" w:eastAsia="zh-CN"/>
        </w:rPr>
        <w:t>供应商</w:t>
      </w:r>
      <w:r>
        <w:rPr>
          <w:rFonts w:hint="eastAsia" w:ascii="宋体" w:hAnsi="宋体" w:eastAsia="宋体" w:cs="宋体"/>
          <w:sz w:val="21"/>
          <w:szCs w:val="21"/>
          <w:lang w:val="en-US" w:eastAsia="zh-CN"/>
        </w:rPr>
        <w:t>只需提供政府采购供应商信用承诺书（格式详见采购文件），不再需要提供以下证明材料：</w:t>
      </w:r>
    </w:p>
    <w:p w14:paraId="624EB9CD">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①具有良好的商业信誉的证明材料：</w:t>
      </w:r>
    </w:p>
    <w:p w14:paraId="78EC3129">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②符合国家相关规定的财务状况报告：</w:t>
      </w:r>
    </w:p>
    <w:p w14:paraId="20C2B517">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③具备履行政府采购合同所必需的设备和专业技术能力的证明材料：</w:t>
      </w:r>
    </w:p>
    <w:p w14:paraId="1874620C">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④依法缴纳税收和社会保障资金的证明材料：</w:t>
      </w:r>
    </w:p>
    <w:p w14:paraId="6CBCF888">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⑤参加政府采购活动前三年内在经营活动中没有重大违法记录的证明材料：</w:t>
      </w:r>
    </w:p>
    <w:p w14:paraId="7FB773D2">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⑥未被列入失信被执行人、重大税收违法案件当事人名单、政府采购严重违法失信行为记录名单的证明材料。</w:t>
      </w:r>
    </w:p>
    <w:p w14:paraId="116DBBA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注：</w:t>
      </w:r>
      <w:r>
        <w:rPr>
          <w:rFonts w:hint="eastAsia" w:ascii="宋体" w:hAnsi="宋体" w:eastAsia="宋体" w:cs="宋体"/>
          <w:sz w:val="21"/>
          <w:szCs w:val="21"/>
          <w:lang w:val="en-US" w:eastAsia="zh-CN"/>
        </w:rPr>
        <w:t>根据</w:t>
      </w:r>
      <w:r>
        <w:rPr>
          <w:rFonts w:hint="eastAsia" w:ascii="宋体" w:hAnsi="宋体" w:eastAsia="宋体" w:cs="宋体"/>
          <w:sz w:val="21"/>
          <w:szCs w:val="21"/>
        </w:rPr>
        <w:t>财库〔2016〕125号文，采购人、代理机构在开标时通过“信用中国”“中国执行信息公开网”及“中国政府采购网”查询供应商信用情况，如有不良情况，按无效标处理。</w:t>
      </w:r>
    </w:p>
    <w:p w14:paraId="5D5E993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3</w:t>
      </w:r>
      <w:r>
        <w:rPr>
          <w:rFonts w:hint="eastAsia" w:ascii="宋体" w:hAnsi="宋体" w:eastAsia="宋体" w:cs="宋体"/>
          <w:sz w:val="21"/>
          <w:szCs w:val="21"/>
        </w:rPr>
        <w:t>供应商所提供资料必须真实有效并提供资料真实有效承诺书，并愿意承担因就提供虚假资料随时视为放弃中标资格并承担由此引起的一切不良和法律后果（提供承诺书，格式自拟）。</w:t>
      </w:r>
    </w:p>
    <w:p w14:paraId="441BA19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4</w:t>
      </w:r>
      <w:r>
        <w:rPr>
          <w:rFonts w:hint="eastAsia" w:ascii="宋体" w:hAnsi="宋体" w:eastAsia="宋体" w:cs="宋体"/>
          <w:sz w:val="21"/>
          <w:szCs w:val="21"/>
        </w:rPr>
        <w:t>本次采购采用资格后审，不接受联合体投标。</w:t>
      </w:r>
    </w:p>
    <w:p w14:paraId="782A9390">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三、获取招标文件</w:t>
      </w:r>
    </w:p>
    <w:p w14:paraId="095044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07</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 xml:space="preserve">27 </w:t>
      </w:r>
      <w:r>
        <w:rPr>
          <w:rFonts w:hint="eastAsia" w:asciiTheme="minorEastAsia" w:hAnsiTheme="minorEastAsia" w:eastAsiaTheme="minorEastAsia" w:cstheme="minorEastAsia"/>
          <w:sz w:val="21"/>
          <w:szCs w:val="21"/>
        </w:rPr>
        <w:t>日至</w:t>
      </w:r>
      <w:r>
        <w:rPr>
          <w:rFonts w:hint="eastAsia" w:asciiTheme="minorEastAsia" w:hAnsiTheme="minorEastAsia" w:eastAsiaTheme="minorEastAsia" w:cstheme="minorEastAsia"/>
          <w:sz w:val="21"/>
          <w:szCs w:val="21"/>
          <w:lang w:val="en-US" w:eastAsia="zh-CN"/>
        </w:rPr>
        <w:t>2026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 xml:space="preserve">17 </w:t>
      </w:r>
      <w:r>
        <w:rPr>
          <w:rFonts w:hint="eastAsia" w:asciiTheme="minorEastAsia" w:hAnsiTheme="minorEastAsia" w:eastAsiaTheme="minorEastAsia" w:cstheme="minorEastAsia"/>
          <w:sz w:val="21"/>
          <w:szCs w:val="21"/>
        </w:rPr>
        <w:t>日，每天上午00:00至12:00，下午12:00至23:59（北京时间）</w:t>
      </w:r>
      <w:r>
        <w:rPr>
          <w:rFonts w:hint="eastAsia" w:asciiTheme="minorEastAsia" w:hAnsiTheme="minorEastAsia" w:eastAsiaTheme="minorEastAsia" w:cstheme="minorEastAsia"/>
          <w:sz w:val="21"/>
          <w:szCs w:val="21"/>
          <w:lang w:eastAsia="zh-CN"/>
        </w:rPr>
        <w:t>；</w:t>
      </w:r>
    </w:p>
    <w:p w14:paraId="0898DC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2.地点：平顶山市公共资源交易中心电子交易系统；</w:t>
      </w:r>
    </w:p>
    <w:p w14:paraId="19A7A8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Theme="minorEastAsia" w:hAnsiTheme="minorEastAsia" w:eastAsiaTheme="minorEastAsia" w:cstheme="minorEastAsia"/>
          <w:sz w:val="21"/>
          <w:szCs w:val="21"/>
        </w:rPr>
        <w:t>3.方式：潜在供应商需凭CA数字证书通过平顶山市公共资源交易中心网站（网址：http://ggzy.pds.gov.cn/）“登陆业务系统”入口进入电子交易系统下载采购文件，具体操作请查看以下</w:t>
      </w:r>
      <w:r>
        <w:rPr>
          <w:rFonts w:hint="eastAsia" w:ascii="宋体" w:hAnsi="宋体" w:eastAsia="宋体" w:cs="宋体"/>
          <w:sz w:val="21"/>
          <w:szCs w:val="21"/>
        </w:rPr>
        <w:t>链接：http://ggzy.pds.gov.cn/fwzn/11020.jhtml。</w:t>
      </w:r>
    </w:p>
    <w:p w14:paraId="793A08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办理CA 证书：http://ggzy.pds.gov.cn/tzgg/10814.jhtml。</w:t>
      </w:r>
    </w:p>
    <w:p w14:paraId="0D84F6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4.售价：0元。</w:t>
      </w:r>
    </w:p>
    <w:p w14:paraId="5FCD435D">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四、投标截止时间及地点</w:t>
      </w:r>
    </w:p>
    <w:p w14:paraId="4C1C49F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 xml:space="preserve">18 </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00</w:t>
      </w:r>
      <w:r>
        <w:rPr>
          <w:rFonts w:hint="eastAsia" w:asciiTheme="minorEastAsia" w:hAnsiTheme="minorEastAsia" w:eastAsiaTheme="minorEastAsia" w:cstheme="minorEastAsia"/>
          <w:sz w:val="21"/>
          <w:szCs w:val="21"/>
        </w:rPr>
        <w:t>分（北京时间）</w:t>
      </w:r>
    </w:p>
    <w:p w14:paraId="543EA963">
      <w:pPr>
        <w:spacing w:line="360" w:lineRule="auto"/>
        <w:ind w:firstLine="420" w:firstLineChars="200"/>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rPr>
        <w:t>2.地点：</w:t>
      </w:r>
      <w:r>
        <w:rPr>
          <w:rFonts w:hint="eastAsia" w:asciiTheme="minorEastAsia" w:hAnsiTheme="minorEastAsia" w:eastAsiaTheme="minorEastAsia" w:cstheme="minorEastAsia"/>
          <w:sz w:val="21"/>
          <w:szCs w:val="21"/>
          <w:shd w:val="clear" w:color="auto" w:fill="FFFFFF"/>
        </w:rPr>
        <w:t>平顶山市公共资源交易中心电子交易系统</w:t>
      </w:r>
    </w:p>
    <w:p w14:paraId="30492377">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五、开标时间及地点</w:t>
      </w:r>
    </w:p>
    <w:p w14:paraId="149EE8F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 xml:space="preserve">18 </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00</w:t>
      </w:r>
      <w:r>
        <w:rPr>
          <w:rFonts w:hint="eastAsia" w:asciiTheme="minorEastAsia" w:hAnsiTheme="minorEastAsia" w:eastAsiaTheme="minorEastAsia" w:cstheme="minorEastAsia"/>
          <w:sz w:val="21"/>
          <w:szCs w:val="21"/>
        </w:rPr>
        <w:t>分（北京时间）</w:t>
      </w:r>
    </w:p>
    <w:p w14:paraId="22EE472A">
      <w:pPr>
        <w:spacing w:line="360" w:lineRule="auto"/>
        <w:ind w:firstLine="420" w:firstLineChars="200"/>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rPr>
        <w:t>2.地点：</w:t>
      </w:r>
      <w:r>
        <w:rPr>
          <w:rFonts w:hint="eastAsia" w:asciiTheme="minorEastAsia" w:hAnsiTheme="minorEastAsia" w:eastAsiaTheme="minorEastAsia" w:cstheme="minorEastAsia"/>
          <w:sz w:val="21"/>
          <w:szCs w:val="21"/>
          <w:shd w:val="clear" w:color="auto" w:fill="FFFFFF"/>
        </w:rPr>
        <w:t>平顶山市公共资源交易中心电子交易系统</w:t>
      </w:r>
    </w:p>
    <w:p w14:paraId="1D80A6F7">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六、发布公告的媒介及招标公告期限</w:t>
      </w:r>
    </w:p>
    <w:p w14:paraId="6394B05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次招标公告在《河南省政府采购网》《平顶山市政府采购网》《平顶山市湛河区政府采购网》《全国公共资源交易平台（河南省·平顶山市）》《河南省公共资源交易公共服务平台》上发布。招标公告期限为五个工作日。</w:t>
      </w:r>
    </w:p>
    <w:p w14:paraId="36B0C656">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七、其他补充事宜</w:t>
      </w:r>
    </w:p>
    <w:p w14:paraId="1E054CD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w:t>
      </w:r>
      <w:r>
        <w:rPr>
          <w:rFonts w:hint="eastAsia" w:ascii="宋体" w:hAnsi="宋体" w:eastAsia="宋体" w:cs="宋体"/>
          <w:sz w:val="21"/>
          <w:szCs w:val="21"/>
        </w:rPr>
        <w:t>全面实行在线“不见面”开标，供应商远程在线解密投标文件，不再到开标现场，供应商开标前应仔细阅读《关于“不见面开标系统”升级的通知》。逾期上传的投标文件，采购人不予受理。</w:t>
      </w:r>
    </w:p>
    <w:p w14:paraId="4C6228F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w:t>
      </w:r>
      <w:r>
        <w:rPr>
          <w:rFonts w:hint="eastAsia" w:ascii="宋体" w:hAnsi="宋体" w:eastAsia="宋体" w:cs="宋体"/>
          <w:sz w:val="21"/>
          <w:szCs w:val="21"/>
        </w:rPr>
        <w:t>该公告已同步至“平顶山市公共资源交易中心微信公众号”，可通过公众号中的服务栏目进行查阅。</w:t>
      </w:r>
    </w:p>
    <w:p w14:paraId="6CCADA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cs="宋体"/>
          <w:sz w:val="21"/>
          <w:szCs w:val="21"/>
          <w:lang w:val="en-US" w:eastAsia="zh-CN"/>
        </w:rPr>
        <w:t>.</w:t>
      </w:r>
      <w:r>
        <w:rPr>
          <w:rFonts w:hint="eastAsia" w:ascii="宋体" w:hAnsi="宋体" w:eastAsia="宋体" w:cs="宋体"/>
          <w:sz w:val="21"/>
          <w:szCs w:val="21"/>
        </w:rPr>
        <w:t>本项目落实扶持不发达地区和少数民族地区，绿色发展、中小微型企业、监狱企业、残疾人福利性单位发展等相关政府采购政策。</w:t>
      </w:r>
    </w:p>
    <w:p w14:paraId="3D22FA5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cs="宋体"/>
          <w:sz w:val="21"/>
          <w:szCs w:val="21"/>
          <w:lang w:val="en-US" w:eastAsia="zh-CN"/>
        </w:rPr>
        <w:t>.</w:t>
      </w:r>
      <w:r>
        <w:rPr>
          <w:rFonts w:hint="eastAsia" w:ascii="宋体" w:hAnsi="宋体" w:eastAsia="宋体" w:cs="宋体"/>
          <w:sz w:val="21"/>
          <w:szCs w:val="21"/>
          <w:lang w:eastAsia="zh-CN"/>
        </w:rPr>
        <w:t>供应商</w:t>
      </w:r>
      <w:r>
        <w:rPr>
          <w:rFonts w:hint="eastAsia" w:ascii="宋体" w:hAnsi="宋体" w:eastAsia="宋体" w:cs="宋体"/>
          <w:sz w:val="21"/>
          <w:szCs w:val="21"/>
        </w:rPr>
        <w:t>或其他利害关系人对本次</w:t>
      </w:r>
      <w:r>
        <w:rPr>
          <w:rFonts w:hint="eastAsia" w:ascii="宋体" w:hAnsi="宋体" w:eastAsia="宋体" w:cs="宋体"/>
          <w:sz w:val="21"/>
          <w:szCs w:val="21"/>
          <w:lang w:val="en-US" w:eastAsia="zh-CN"/>
        </w:rPr>
        <w:t>采购公告</w:t>
      </w:r>
      <w:r>
        <w:rPr>
          <w:rFonts w:hint="eastAsia" w:ascii="宋体" w:hAnsi="宋体" w:eastAsia="宋体" w:cs="宋体"/>
          <w:sz w:val="21"/>
          <w:szCs w:val="21"/>
        </w:rPr>
        <w:t>如有异议</w:t>
      </w:r>
      <w:r>
        <w:rPr>
          <w:rFonts w:hint="eastAsia" w:ascii="宋体" w:hAnsi="宋体" w:eastAsia="宋体" w:cs="宋体"/>
          <w:sz w:val="21"/>
          <w:szCs w:val="21"/>
          <w:lang w:eastAsia="zh-CN"/>
        </w:rPr>
        <w:t>，</w:t>
      </w:r>
      <w:r>
        <w:rPr>
          <w:rFonts w:hint="eastAsia" w:ascii="宋体" w:hAnsi="宋体" w:eastAsia="宋体" w:cs="宋体"/>
          <w:sz w:val="21"/>
          <w:szCs w:val="21"/>
        </w:rPr>
        <w:t>请按中华人民共和国财政部令第94号《政府采购质疑和投诉办法》的相关规定，</w:t>
      </w:r>
      <w:r>
        <w:rPr>
          <w:rFonts w:hint="eastAsia" w:ascii="宋体" w:hAnsi="宋体" w:eastAsia="宋体" w:cs="宋体"/>
          <w:sz w:val="21"/>
          <w:szCs w:val="21"/>
          <w:lang w:val="en-US" w:eastAsia="zh-CN"/>
        </w:rPr>
        <w:t>在规定时间内，</w:t>
      </w:r>
      <w:r>
        <w:rPr>
          <w:rFonts w:hint="eastAsia" w:ascii="宋体" w:hAnsi="宋体" w:eastAsia="宋体" w:cs="宋体"/>
          <w:sz w:val="21"/>
          <w:szCs w:val="21"/>
        </w:rPr>
        <w:t>向采购人</w:t>
      </w:r>
      <w:r>
        <w:rPr>
          <w:rFonts w:hint="eastAsia" w:ascii="宋体" w:hAnsi="宋体" w:eastAsia="宋体" w:cs="宋体"/>
          <w:sz w:val="21"/>
          <w:szCs w:val="21"/>
          <w:lang w:eastAsia="zh-CN"/>
        </w:rPr>
        <w:t>、</w:t>
      </w:r>
      <w:r>
        <w:rPr>
          <w:rFonts w:hint="eastAsia" w:ascii="宋体" w:hAnsi="宋体" w:eastAsia="宋体" w:cs="宋体"/>
          <w:sz w:val="21"/>
          <w:szCs w:val="21"/>
        </w:rPr>
        <w:t>采购代理机构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政府采购监督部门</w:t>
      </w:r>
      <w:r>
        <w:rPr>
          <w:rFonts w:hint="eastAsia" w:ascii="宋体" w:hAnsi="宋体" w:eastAsia="宋体" w:cs="宋体"/>
          <w:sz w:val="21"/>
          <w:szCs w:val="21"/>
        </w:rPr>
        <w:t>提出质疑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投诉等事宜。</w:t>
      </w:r>
      <w:r>
        <w:rPr>
          <w:rFonts w:hint="eastAsia" w:ascii="宋体" w:hAnsi="宋体" w:eastAsia="宋体" w:cs="宋体"/>
          <w:sz w:val="21"/>
          <w:szCs w:val="21"/>
        </w:rPr>
        <w:t>逾期未提交或未按照要求提交的质疑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w:t>
      </w:r>
      <w:r>
        <w:rPr>
          <w:rFonts w:hint="eastAsia" w:ascii="宋体" w:hAnsi="宋体" w:eastAsia="宋体" w:cs="宋体"/>
          <w:sz w:val="21"/>
          <w:szCs w:val="21"/>
        </w:rPr>
        <w:t>将不予受理。</w:t>
      </w:r>
    </w:p>
    <w:p w14:paraId="66CE3B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.监督单位：平顶山市湛河区财政局</w:t>
      </w:r>
    </w:p>
    <w:p w14:paraId="3CF6DC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联系电话：0375-3998131</w:t>
      </w:r>
    </w:p>
    <w:p w14:paraId="5C0D9A9A">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八、凡对本次招标提出询问，请按照以下方式联系</w:t>
      </w:r>
    </w:p>
    <w:p w14:paraId="6BCF763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1.采购人信息</w:t>
      </w:r>
    </w:p>
    <w:p w14:paraId="2528273B">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名称：平顶山市湛河区教育体育局</w:t>
      </w:r>
    </w:p>
    <w:p w14:paraId="26B34BC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地址：平顶山市光明路中段启蒙路交叉口</w:t>
      </w:r>
    </w:p>
    <w:p w14:paraId="4B3CD4F3">
      <w:pPr>
        <w:spacing w:line="360" w:lineRule="auto"/>
        <w:ind w:firstLine="420" w:firstLineChars="2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联系人：熊</w:t>
      </w:r>
      <w:r>
        <w:rPr>
          <w:rFonts w:hint="eastAsia" w:asciiTheme="minorEastAsia" w:hAnsiTheme="minorEastAsia" w:eastAsiaTheme="minorEastAsia" w:cstheme="minorEastAsia"/>
          <w:sz w:val="21"/>
          <w:szCs w:val="21"/>
          <w:lang w:val="en-US" w:eastAsia="zh-CN"/>
        </w:rPr>
        <w:t xml:space="preserve">先生 </w:t>
      </w:r>
    </w:p>
    <w:p w14:paraId="7B88A4F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联系方式：0375-7658019 </w:t>
      </w:r>
    </w:p>
    <w:p w14:paraId="5D86E0E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2.采购代理机构信息</w:t>
      </w:r>
    </w:p>
    <w:p w14:paraId="0399711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名称：河南易采工程管理有限公司</w:t>
      </w:r>
    </w:p>
    <w:p w14:paraId="724C96E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地址：河南省平顶山市未来路中段中梁壹号院</w:t>
      </w:r>
    </w:p>
    <w:p w14:paraId="4DFC3BA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16A84EBA">
      <w:pPr>
        <w:spacing w:line="360" w:lineRule="auto"/>
        <w:ind w:firstLine="420" w:firstLineChars="20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联系方式：0375-2555998</w:t>
      </w:r>
      <w:r>
        <w:rPr>
          <w:rFonts w:hint="eastAsia" w:asciiTheme="minorEastAsia" w:hAnsiTheme="minorEastAsia" w:eastAsiaTheme="minorEastAsia" w:cstheme="minorEastAsia"/>
          <w:sz w:val="21"/>
          <w:szCs w:val="21"/>
          <w:lang w:val="en-US" w:eastAsia="zh-CN"/>
        </w:rPr>
        <w:t xml:space="preserve">  19939030802</w:t>
      </w:r>
    </w:p>
    <w:p w14:paraId="34768EB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3.项目联系方式</w:t>
      </w:r>
    </w:p>
    <w:p w14:paraId="2B8E14A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4134FAE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联系方式：0375-2555998</w:t>
      </w:r>
      <w:r>
        <w:rPr>
          <w:rFonts w:hint="eastAsia" w:asciiTheme="minorEastAsia" w:hAnsiTheme="minorEastAsia" w:eastAsiaTheme="minorEastAsia" w:cstheme="minorEastAsia"/>
          <w:sz w:val="21"/>
          <w:szCs w:val="21"/>
          <w:lang w:val="en-US" w:eastAsia="zh-CN"/>
        </w:rPr>
        <w:t xml:space="preserve">  19939030802</w:t>
      </w:r>
    </w:p>
    <w:p w14:paraId="085568C2">
      <w:pPr>
        <w:spacing w:line="360" w:lineRule="auto"/>
        <w:ind w:firstLine="420" w:firstLineChars="200"/>
        <w:rPr>
          <w:rFonts w:ascii="宋体" w:hAnsi="宋体" w:cs="宋体"/>
          <w:b/>
          <w:sz w:val="44"/>
          <w:szCs w:val="21"/>
        </w:rPr>
      </w:pPr>
      <w:r>
        <w:rPr>
          <w:rFonts w:hint="eastAsia" w:ascii="宋体" w:hAnsi="宋体" w:cs="宋体"/>
          <w:sz w:val="21"/>
          <w:szCs w:val="21"/>
          <w:lang w:val="zh-CN"/>
        </w:rPr>
        <w:t xml:space="preserve"> </w:t>
      </w:r>
      <w:r>
        <w:rPr>
          <w:rFonts w:ascii="宋体" w:hAnsi="宋体" w:cs="宋体"/>
          <w:b/>
          <w:sz w:val="44"/>
          <w:szCs w:val="21"/>
        </w:rPr>
        <w:br w:type="page"/>
      </w:r>
    </w:p>
    <w:bookmarkEnd w:id="37"/>
    <w:p w14:paraId="38C1C0DA">
      <w:pPr>
        <w:pStyle w:val="26"/>
        <w:spacing w:before="0" w:after="0" w:line="480" w:lineRule="exact"/>
        <w:rPr>
          <w:rFonts w:ascii="宋体" w:hAnsi="宋体" w:cs="宋体"/>
          <w:szCs w:val="36"/>
        </w:rPr>
      </w:pPr>
      <w:bookmarkStart w:id="38" w:name="_Toc20863"/>
      <w:bookmarkStart w:id="39" w:name="_Toc19442"/>
      <w:bookmarkStart w:id="40" w:name="_Toc11318_WPSOffice_Level1"/>
      <w:bookmarkStart w:id="41" w:name="_Toc11910"/>
      <w:bookmarkStart w:id="42" w:name="_Toc11409"/>
      <w:bookmarkStart w:id="43" w:name="_Toc26957"/>
      <w:bookmarkStart w:id="44" w:name="_Toc17976"/>
      <w:bookmarkStart w:id="45" w:name="_Toc1280"/>
      <w:bookmarkStart w:id="46" w:name="_Toc31933_WPSOffice_Level1"/>
      <w:bookmarkStart w:id="47" w:name="_Toc25337"/>
      <w:bookmarkStart w:id="48" w:name="_Toc29848"/>
      <w:bookmarkStart w:id="49" w:name="_Toc26949"/>
      <w:bookmarkStart w:id="50" w:name="_Toc7336"/>
      <w:bookmarkStart w:id="51" w:name="_Toc11363"/>
      <w:bookmarkStart w:id="52" w:name="_Toc13073"/>
      <w:bookmarkStart w:id="53" w:name="_Toc22346"/>
      <w:bookmarkStart w:id="54" w:name="_Toc31021"/>
      <w:bookmarkStart w:id="55" w:name="_Toc22242"/>
      <w:bookmarkStart w:id="56" w:name="_Toc25585"/>
      <w:bookmarkStart w:id="57" w:name="_Toc14088"/>
      <w:bookmarkStart w:id="58" w:name="_Toc24779"/>
      <w:bookmarkStart w:id="59" w:name="_Toc31265"/>
      <w:bookmarkStart w:id="60" w:name="_Toc27545"/>
      <w:bookmarkStart w:id="61" w:name="_Toc1581"/>
      <w:r>
        <w:rPr>
          <w:rFonts w:hint="eastAsia" w:ascii="宋体" w:hAnsi="宋体" w:cs="宋体"/>
          <w:szCs w:val="36"/>
          <w:lang w:val="zh-CN"/>
        </w:rPr>
        <w:t>第二部分  供应商须知</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33D41BF1">
      <w:pPr>
        <w:jc w:val="center"/>
        <w:rPr>
          <w:rFonts w:ascii="宋体" w:hAnsi="宋体" w:cs="宋体"/>
          <w:b/>
          <w:bCs/>
          <w:sz w:val="28"/>
          <w:szCs w:val="36"/>
        </w:rPr>
      </w:pPr>
      <w:bookmarkStart w:id="62" w:name="_Toc19555"/>
    </w:p>
    <w:p w14:paraId="57AB22FD">
      <w:pPr>
        <w:jc w:val="center"/>
        <w:outlineLvl w:val="1"/>
        <w:rPr>
          <w:rFonts w:ascii="宋体" w:hAnsi="宋体" w:cs="宋体"/>
          <w:b/>
          <w:bCs/>
          <w:sz w:val="28"/>
          <w:szCs w:val="36"/>
        </w:rPr>
      </w:pPr>
      <w:bookmarkStart w:id="63" w:name="_Toc28639_WPSOffice_Level2"/>
      <w:bookmarkStart w:id="64" w:name="_Toc15473"/>
      <w:bookmarkStart w:id="65" w:name="_Toc24455_WPSOffice_Level2"/>
      <w:bookmarkStart w:id="66" w:name="_Toc23347"/>
      <w:bookmarkStart w:id="67" w:name="_Toc1912"/>
      <w:bookmarkStart w:id="68" w:name="_Toc9906"/>
      <w:bookmarkStart w:id="69" w:name="_Toc17640"/>
      <w:bookmarkStart w:id="70" w:name="_Toc5562"/>
      <w:bookmarkStart w:id="71" w:name="_Toc5254"/>
      <w:bookmarkStart w:id="72" w:name="_Toc14277"/>
      <w:bookmarkStart w:id="73" w:name="_Toc31103"/>
      <w:bookmarkStart w:id="74" w:name="_Toc13134"/>
      <w:bookmarkStart w:id="75" w:name="_Toc23409"/>
      <w:bookmarkStart w:id="76" w:name="_Toc8812"/>
      <w:bookmarkStart w:id="77" w:name="_Toc22126"/>
      <w:bookmarkStart w:id="78" w:name="_Toc27869"/>
      <w:bookmarkStart w:id="79" w:name="_Toc4998"/>
      <w:bookmarkStart w:id="80" w:name="_Toc43"/>
      <w:bookmarkStart w:id="81" w:name="_Toc11465"/>
      <w:bookmarkStart w:id="82" w:name="_Toc26770"/>
      <w:r>
        <w:rPr>
          <w:rFonts w:hint="eastAsia" w:ascii="宋体" w:hAnsi="宋体" w:cs="宋体"/>
          <w:b/>
          <w:bCs/>
          <w:sz w:val="28"/>
          <w:szCs w:val="36"/>
          <w:lang w:eastAsia="zh-CN"/>
        </w:rPr>
        <w:t>供应商</w:t>
      </w:r>
      <w:r>
        <w:rPr>
          <w:rFonts w:hint="eastAsia" w:ascii="宋体" w:hAnsi="宋体" w:cs="宋体"/>
          <w:b/>
          <w:bCs/>
          <w:sz w:val="28"/>
          <w:szCs w:val="36"/>
        </w:rPr>
        <w:t>须知前附表</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tbl>
      <w:tblPr>
        <w:tblStyle w:val="30"/>
        <w:tblW w:w="9799" w:type="dxa"/>
        <w:jc w:val="center"/>
        <w:tblLayout w:type="fixed"/>
        <w:tblCellMar>
          <w:top w:w="0" w:type="dxa"/>
          <w:left w:w="0" w:type="dxa"/>
          <w:bottom w:w="0" w:type="dxa"/>
          <w:right w:w="0" w:type="dxa"/>
        </w:tblCellMar>
      </w:tblPr>
      <w:tblGrid>
        <w:gridCol w:w="637"/>
        <w:gridCol w:w="2125"/>
        <w:gridCol w:w="7037"/>
      </w:tblGrid>
      <w:tr w14:paraId="54F7E917">
        <w:tblPrEx>
          <w:tblCellMar>
            <w:top w:w="0" w:type="dxa"/>
            <w:left w:w="0" w:type="dxa"/>
            <w:bottom w:w="0" w:type="dxa"/>
            <w:right w:w="0" w:type="dxa"/>
          </w:tblCellMar>
        </w:tblPrEx>
        <w:trPr>
          <w:trHeight w:val="567" w:hRule="atLeast"/>
          <w:jc w:val="center"/>
        </w:trPr>
        <w:tc>
          <w:tcPr>
            <w:tcW w:w="637" w:type="dxa"/>
            <w:tcBorders>
              <w:top w:val="single" w:color="auto" w:sz="18" w:space="0"/>
              <w:left w:val="single" w:color="auto" w:sz="18" w:space="0"/>
              <w:bottom w:val="single" w:color="auto" w:sz="8" w:space="0"/>
              <w:right w:val="single" w:color="auto" w:sz="8" w:space="0"/>
            </w:tcBorders>
            <w:vAlign w:val="center"/>
          </w:tcPr>
          <w:p w14:paraId="104FBE2B">
            <w:pPr>
              <w:pStyle w:val="62"/>
              <w:spacing w:line="360" w:lineRule="auto"/>
              <w:ind w:left="0" w:right="0" w:firstLine="0"/>
              <w:jc w:val="center"/>
              <w:rPr>
                <w:rFonts w:hint="eastAsia" w:asciiTheme="minorEastAsia" w:hAnsiTheme="minorEastAsia" w:eastAsiaTheme="minorEastAsia" w:cstheme="minorEastAsia"/>
                <w:sz w:val="21"/>
                <w:szCs w:val="21"/>
              </w:rPr>
            </w:pPr>
            <w:bookmarkStart w:id="83" w:name="_Toc10967"/>
            <w:bookmarkStart w:id="84" w:name="_Toc3859"/>
            <w:bookmarkStart w:id="85" w:name="_Toc32486"/>
            <w:bookmarkStart w:id="86" w:name="_Toc11683"/>
            <w:bookmarkStart w:id="87" w:name="_Toc30125"/>
            <w:bookmarkStart w:id="88" w:name="_Toc10264"/>
            <w:bookmarkStart w:id="89" w:name="_Toc8806"/>
            <w:bookmarkStart w:id="90" w:name="_Toc25798"/>
            <w:bookmarkStart w:id="91" w:name="_Toc24868"/>
            <w:bookmarkStart w:id="92" w:name="_Toc16589"/>
            <w:bookmarkStart w:id="93" w:name="_Toc23685_WPSOffice_Level2"/>
            <w:bookmarkStart w:id="94" w:name="_Toc21737"/>
            <w:bookmarkStart w:id="95" w:name="_Toc23755"/>
            <w:bookmarkStart w:id="96" w:name="_Toc29797"/>
            <w:bookmarkStart w:id="97" w:name="_Toc19312"/>
            <w:bookmarkStart w:id="98" w:name="_Toc32223"/>
            <w:bookmarkStart w:id="99" w:name="_Toc3783"/>
            <w:bookmarkStart w:id="100" w:name="_Toc26924"/>
            <w:bookmarkStart w:id="101" w:name="_Toc28335"/>
            <w:bookmarkStart w:id="102" w:name="_Toc28543_WPSOffice_Level2"/>
            <w:bookmarkStart w:id="103" w:name="_Toc3556"/>
            <w:r>
              <w:rPr>
                <w:rFonts w:hint="eastAsia" w:asciiTheme="minorEastAsia" w:hAnsiTheme="minorEastAsia" w:eastAsiaTheme="minorEastAsia" w:cstheme="minorEastAsia"/>
                <w:sz w:val="21"/>
                <w:szCs w:val="21"/>
              </w:rPr>
              <w:t>序号</w:t>
            </w:r>
          </w:p>
        </w:tc>
        <w:tc>
          <w:tcPr>
            <w:tcW w:w="2125" w:type="dxa"/>
            <w:tcBorders>
              <w:top w:val="single" w:color="auto" w:sz="18" w:space="0"/>
              <w:left w:val="single" w:color="auto" w:sz="8" w:space="0"/>
              <w:bottom w:val="single" w:color="auto" w:sz="8" w:space="0"/>
              <w:right w:val="single" w:color="auto" w:sz="8" w:space="0"/>
            </w:tcBorders>
            <w:vAlign w:val="center"/>
          </w:tcPr>
          <w:p w14:paraId="39E64831">
            <w:pPr>
              <w:pStyle w:val="62"/>
              <w:spacing w:line="360" w:lineRule="auto"/>
              <w:ind w:lef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条款名称</w:t>
            </w:r>
          </w:p>
        </w:tc>
        <w:tc>
          <w:tcPr>
            <w:tcW w:w="7037" w:type="dxa"/>
            <w:tcBorders>
              <w:top w:val="single" w:color="auto" w:sz="18" w:space="0"/>
              <w:left w:val="single" w:color="auto" w:sz="8" w:space="0"/>
              <w:bottom w:val="single" w:color="auto" w:sz="8" w:space="0"/>
              <w:right w:val="single" w:color="auto" w:sz="18" w:space="0"/>
            </w:tcBorders>
            <w:vAlign w:val="center"/>
          </w:tcPr>
          <w:p w14:paraId="2F7B7256">
            <w:pPr>
              <w:pStyle w:val="62"/>
              <w:spacing w:line="360" w:lineRule="auto"/>
              <w:ind w:lef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说明和要求</w:t>
            </w:r>
          </w:p>
        </w:tc>
      </w:tr>
      <w:tr w14:paraId="79911236">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63D9BD7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125" w:type="dxa"/>
            <w:tcBorders>
              <w:top w:val="single" w:color="auto" w:sz="8" w:space="0"/>
              <w:left w:val="single" w:color="auto" w:sz="8" w:space="0"/>
              <w:bottom w:val="single" w:color="auto" w:sz="8" w:space="0"/>
              <w:right w:val="single" w:color="auto" w:sz="8" w:space="0"/>
            </w:tcBorders>
            <w:vAlign w:val="center"/>
          </w:tcPr>
          <w:p w14:paraId="5E9759B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w:t>
            </w:r>
          </w:p>
        </w:tc>
        <w:tc>
          <w:tcPr>
            <w:tcW w:w="7037" w:type="dxa"/>
            <w:tcBorders>
              <w:top w:val="single" w:color="auto" w:sz="8" w:space="0"/>
              <w:left w:val="single" w:color="auto" w:sz="8" w:space="0"/>
              <w:bottom w:val="single" w:color="auto" w:sz="8" w:space="0"/>
              <w:right w:val="single" w:color="auto" w:sz="18" w:space="0"/>
            </w:tcBorders>
            <w:vAlign w:val="center"/>
          </w:tcPr>
          <w:p w14:paraId="5EED1C94">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名称：平顶山市湛河区教育体育局</w:t>
            </w:r>
          </w:p>
          <w:p w14:paraId="5113F78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地址：平顶山市光明路中段启蒙路交叉口</w:t>
            </w:r>
          </w:p>
          <w:p w14:paraId="40FD950E">
            <w:pPr>
              <w:spacing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联系人：熊</w:t>
            </w:r>
            <w:r>
              <w:rPr>
                <w:rFonts w:hint="eastAsia" w:asciiTheme="minorEastAsia" w:hAnsiTheme="minorEastAsia" w:eastAsiaTheme="minorEastAsia" w:cstheme="minorEastAsia"/>
                <w:sz w:val="21"/>
                <w:szCs w:val="21"/>
                <w:lang w:val="en-US" w:eastAsia="zh-CN"/>
              </w:rPr>
              <w:t xml:space="preserve">先生 </w:t>
            </w:r>
          </w:p>
          <w:p w14:paraId="5D99F1D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联系方式：0375-7658019 </w:t>
            </w:r>
          </w:p>
        </w:tc>
      </w:tr>
      <w:tr w14:paraId="08A9F753">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594F7EC7">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2125" w:type="dxa"/>
            <w:tcBorders>
              <w:top w:val="single" w:color="auto" w:sz="8" w:space="0"/>
              <w:left w:val="single" w:color="auto" w:sz="8" w:space="0"/>
              <w:bottom w:val="single" w:color="auto" w:sz="8" w:space="0"/>
              <w:right w:val="single" w:color="auto" w:sz="8" w:space="0"/>
            </w:tcBorders>
            <w:vAlign w:val="center"/>
          </w:tcPr>
          <w:p w14:paraId="1E3EBD9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采购代理机构</w:t>
            </w:r>
          </w:p>
        </w:tc>
        <w:tc>
          <w:tcPr>
            <w:tcW w:w="7037" w:type="dxa"/>
            <w:tcBorders>
              <w:top w:val="single" w:color="auto" w:sz="8" w:space="0"/>
              <w:left w:val="single" w:color="auto" w:sz="8" w:space="0"/>
              <w:bottom w:val="single" w:color="auto" w:sz="8" w:space="0"/>
              <w:right w:val="single" w:color="auto" w:sz="18" w:space="0"/>
            </w:tcBorders>
            <w:vAlign w:val="center"/>
          </w:tcPr>
          <w:p w14:paraId="77107A75">
            <w:pPr>
              <w:pStyle w:val="60"/>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名称：河南易采工程管理有限公司</w:t>
            </w:r>
          </w:p>
          <w:p w14:paraId="5653E6FD">
            <w:pPr>
              <w:pStyle w:val="60"/>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地址：河南省平顶山市未来路中段中梁鹰城壹号院</w:t>
            </w:r>
          </w:p>
          <w:p w14:paraId="42BCCFFE">
            <w:pPr>
              <w:pStyle w:val="60"/>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581A391B">
            <w:pPr>
              <w:pStyle w:val="60"/>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联系方式：0375-2555998    19939030802</w:t>
            </w:r>
          </w:p>
        </w:tc>
      </w:tr>
      <w:tr w14:paraId="3FC99915">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76B3BA2A">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w:t>
            </w:r>
          </w:p>
        </w:tc>
        <w:tc>
          <w:tcPr>
            <w:tcW w:w="2125" w:type="dxa"/>
            <w:tcBorders>
              <w:top w:val="single" w:color="auto" w:sz="8" w:space="0"/>
              <w:left w:val="single" w:color="auto" w:sz="8" w:space="0"/>
              <w:bottom w:val="single" w:color="auto" w:sz="8" w:space="0"/>
              <w:right w:val="single" w:color="auto" w:sz="8" w:space="0"/>
            </w:tcBorders>
            <w:vAlign w:val="center"/>
          </w:tcPr>
          <w:p w14:paraId="15F27AE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项目名称</w:t>
            </w:r>
          </w:p>
        </w:tc>
        <w:tc>
          <w:tcPr>
            <w:tcW w:w="7037" w:type="dxa"/>
            <w:tcBorders>
              <w:top w:val="single" w:color="auto" w:sz="8" w:space="0"/>
              <w:left w:val="single" w:color="auto" w:sz="8" w:space="0"/>
              <w:bottom w:val="single" w:color="auto" w:sz="8" w:space="0"/>
              <w:right w:val="single" w:color="auto" w:sz="18" w:space="0"/>
            </w:tcBorders>
            <w:vAlign w:val="center"/>
          </w:tcPr>
          <w:p w14:paraId="2BD31664">
            <w:pPr>
              <w:spacing w:line="360" w:lineRule="auto"/>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val="0"/>
                <w:bCs w:val="0"/>
                <w:color w:val="auto"/>
                <w:sz w:val="21"/>
                <w:szCs w:val="21"/>
                <w:lang w:eastAsia="zh-CN"/>
              </w:rPr>
              <w:t>平顶山市湛河区教育体育局心理咨询室设备采购项目</w:t>
            </w:r>
          </w:p>
        </w:tc>
      </w:tr>
      <w:tr w14:paraId="45C5F716">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5D9CC89A">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p>
        </w:tc>
        <w:tc>
          <w:tcPr>
            <w:tcW w:w="2125" w:type="dxa"/>
            <w:tcBorders>
              <w:top w:val="single" w:color="auto" w:sz="8" w:space="0"/>
              <w:left w:val="single" w:color="auto" w:sz="8" w:space="0"/>
              <w:bottom w:val="single" w:color="auto" w:sz="8" w:space="0"/>
              <w:right w:val="single" w:color="auto" w:sz="8" w:space="0"/>
            </w:tcBorders>
            <w:vAlign w:val="center"/>
          </w:tcPr>
          <w:p w14:paraId="09B9B09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采购编号</w:t>
            </w:r>
          </w:p>
        </w:tc>
        <w:tc>
          <w:tcPr>
            <w:tcW w:w="7037" w:type="dxa"/>
            <w:tcBorders>
              <w:top w:val="single" w:color="auto" w:sz="8" w:space="0"/>
              <w:left w:val="single" w:color="auto" w:sz="8" w:space="0"/>
              <w:bottom w:val="single" w:color="auto" w:sz="8" w:space="0"/>
              <w:right w:val="single" w:color="auto" w:sz="18" w:space="0"/>
            </w:tcBorders>
            <w:vAlign w:val="center"/>
          </w:tcPr>
          <w:p w14:paraId="51F981D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val="0"/>
                <w:bCs w:val="0"/>
                <w:color w:val="auto"/>
                <w:sz w:val="21"/>
                <w:szCs w:val="21"/>
                <w:lang w:val="en-US" w:eastAsia="zh-CN"/>
              </w:rPr>
              <w:t>平湛采招标-2026-11</w:t>
            </w:r>
          </w:p>
        </w:tc>
      </w:tr>
      <w:tr w14:paraId="3C4352B3">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1C3E47B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w:t>
            </w:r>
          </w:p>
        </w:tc>
        <w:tc>
          <w:tcPr>
            <w:tcW w:w="2125" w:type="dxa"/>
            <w:tcBorders>
              <w:top w:val="single" w:color="auto" w:sz="8" w:space="0"/>
              <w:left w:val="single" w:color="auto" w:sz="8" w:space="0"/>
              <w:bottom w:val="single" w:color="auto" w:sz="8" w:space="0"/>
              <w:right w:val="single" w:color="auto" w:sz="8" w:space="0"/>
            </w:tcBorders>
            <w:vAlign w:val="center"/>
          </w:tcPr>
          <w:p w14:paraId="4BA78F9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资金来源</w:t>
            </w:r>
          </w:p>
        </w:tc>
        <w:tc>
          <w:tcPr>
            <w:tcW w:w="7037" w:type="dxa"/>
            <w:tcBorders>
              <w:top w:val="single" w:color="auto" w:sz="8" w:space="0"/>
              <w:left w:val="single" w:color="auto" w:sz="8" w:space="0"/>
              <w:bottom w:val="single" w:color="auto" w:sz="8" w:space="0"/>
              <w:right w:val="single" w:color="auto" w:sz="18" w:space="0"/>
            </w:tcBorders>
            <w:vAlign w:val="center"/>
          </w:tcPr>
          <w:p w14:paraId="60BB649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财政资金，已落实</w:t>
            </w:r>
          </w:p>
        </w:tc>
      </w:tr>
      <w:tr w14:paraId="5E83EE7E">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2509EB6D">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w:t>
            </w:r>
          </w:p>
        </w:tc>
        <w:tc>
          <w:tcPr>
            <w:tcW w:w="2125" w:type="dxa"/>
            <w:tcBorders>
              <w:top w:val="single" w:color="auto" w:sz="8" w:space="0"/>
              <w:left w:val="single" w:color="auto" w:sz="8" w:space="0"/>
              <w:bottom w:val="single" w:color="auto" w:sz="8" w:space="0"/>
              <w:right w:val="single" w:color="auto" w:sz="8" w:space="0"/>
            </w:tcBorders>
            <w:vAlign w:val="center"/>
          </w:tcPr>
          <w:p w14:paraId="2783EB16">
            <w:pPr>
              <w:spacing w:line="360" w:lineRule="auto"/>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最高限价</w:t>
            </w:r>
          </w:p>
        </w:tc>
        <w:tc>
          <w:tcPr>
            <w:tcW w:w="7037" w:type="dxa"/>
            <w:tcBorders>
              <w:top w:val="single" w:color="auto" w:sz="8" w:space="0"/>
              <w:left w:val="single" w:color="auto" w:sz="8" w:space="0"/>
              <w:bottom w:val="single" w:color="auto" w:sz="8" w:space="0"/>
              <w:right w:val="single" w:color="auto" w:sz="18" w:space="0"/>
            </w:tcBorders>
            <w:vAlign w:val="center"/>
          </w:tcPr>
          <w:p w14:paraId="241617B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924000.00</w:t>
            </w:r>
            <w:r>
              <w:rPr>
                <w:rFonts w:hint="eastAsia" w:asciiTheme="minorEastAsia" w:hAnsiTheme="minorEastAsia" w:eastAsiaTheme="minorEastAsia" w:cstheme="minorEastAsia"/>
                <w:color w:val="auto"/>
                <w:sz w:val="21"/>
                <w:szCs w:val="21"/>
              </w:rPr>
              <w:t>元，超过该</w:t>
            </w:r>
            <w:r>
              <w:rPr>
                <w:rFonts w:hint="eastAsia" w:asciiTheme="minorEastAsia" w:hAnsiTheme="minorEastAsia" w:eastAsiaTheme="minorEastAsia" w:cstheme="minorEastAsia"/>
                <w:color w:val="auto"/>
                <w:sz w:val="21"/>
                <w:szCs w:val="21"/>
                <w:lang w:val="en-US" w:eastAsia="zh-CN"/>
              </w:rPr>
              <w:t>最高限价</w:t>
            </w:r>
            <w:r>
              <w:rPr>
                <w:rFonts w:hint="eastAsia" w:asciiTheme="minorEastAsia" w:hAnsiTheme="minorEastAsia" w:eastAsiaTheme="minorEastAsia" w:cstheme="minorEastAsia"/>
                <w:color w:val="auto"/>
                <w:sz w:val="21"/>
                <w:szCs w:val="21"/>
              </w:rPr>
              <w:t>的投标视为无效标。</w:t>
            </w:r>
          </w:p>
        </w:tc>
      </w:tr>
      <w:tr w14:paraId="3649A073">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0FE8F69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w:t>
            </w:r>
          </w:p>
        </w:tc>
        <w:tc>
          <w:tcPr>
            <w:tcW w:w="2125" w:type="dxa"/>
            <w:tcBorders>
              <w:top w:val="single" w:color="auto" w:sz="8" w:space="0"/>
              <w:left w:val="single" w:color="auto" w:sz="8" w:space="0"/>
              <w:bottom w:val="single" w:color="auto" w:sz="8" w:space="0"/>
              <w:right w:val="single" w:color="auto" w:sz="8" w:space="0"/>
            </w:tcBorders>
            <w:vAlign w:val="center"/>
          </w:tcPr>
          <w:p w14:paraId="6D17A4D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采购方式</w:t>
            </w:r>
          </w:p>
        </w:tc>
        <w:tc>
          <w:tcPr>
            <w:tcW w:w="7037" w:type="dxa"/>
            <w:tcBorders>
              <w:top w:val="single" w:color="auto" w:sz="8" w:space="0"/>
              <w:left w:val="single" w:color="auto" w:sz="8" w:space="0"/>
              <w:bottom w:val="single" w:color="auto" w:sz="8" w:space="0"/>
              <w:right w:val="single" w:color="auto" w:sz="18" w:space="0"/>
            </w:tcBorders>
            <w:vAlign w:val="center"/>
          </w:tcPr>
          <w:p w14:paraId="3520D42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公开招标</w:t>
            </w:r>
          </w:p>
        </w:tc>
      </w:tr>
      <w:tr w14:paraId="752371D5">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7AEA826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w:t>
            </w:r>
          </w:p>
        </w:tc>
        <w:tc>
          <w:tcPr>
            <w:tcW w:w="2125" w:type="dxa"/>
            <w:tcBorders>
              <w:top w:val="single" w:color="auto" w:sz="8" w:space="0"/>
              <w:left w:val="single" w:color="auto" w:sz="8" w:space="0"/>
              <w:bottom w:val="single" w:color="auto" w:sz="8" w:space="0"/>
              <w:right w:val="single" w:color="auto" w:sz="8" w:space="0"/>
            </w:tcBorders>
            <w:vAlign w:val="center"/>
          </w:tcPr>
          <w:p w14:paraId="0244ADE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评标方法</w:t>
            </w:r>
          </w:p>
        </w:tc>
        <w:tc>
          <w:tcPr>
            <w:tcW w:w="7037" w:type="dxa"/>
            <w:tcBorders>
              <w:top w:val="single" w:color="auto" w:sz="8" w:space="0"/>
              <w:left w:val="single" w:color="auto" w:sz="8" w:space="0"/>
              <w:bottom w:val="single" w:color="auto" w:sz="8" w:space="0"/>
              <w:right w:val="single" w:color="auto" w:sz="18" w:space="0"/>
            </w:tcBorders>
            <w:vAlign w:val="center"/>
          </w:tcPr>
          <w:p w14:paraId="298C74A3">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综合评分法</w:t>
            </w:r>
          </w:p>
        </w:tc>
      </w:tr>
      <w:tr w14:paraId="7983A653">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3EB710B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9</w:t>
            </w:r>
          </w:p>
        </w:tc>
        <w:tc>
          <w:tcPr>
            <w:tcW w:w="2125" w:type="dxa"/>
            <w:tcBorders>
              <w:top w:val="single" w:color="auto" w:sz="8" w:space="0"/>
              <w:left w:val="single" w:color="auto" w:sz="8" w:space="0"/>
              <w:bottom w:val="single" w:color="auto" w:sz="8" w:space="0"/>
              <w:right w:val="single" w:color="auto" w:sz="8" w:space="0"/>
            </w:tcBorders>
            <w:vAlign w:val="center"/>
          </w:tcPr>
          <w:p w14:paraId="6F469F5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供货及安装期</w:t>
            </w:r>
          </w:p>
        </w:tc>
        <w:tc>
          <w:tcPr>
            <w:tcW w:w="7037" w:type="dxa"/>
            <w:tcBorders>
              <w:top w:val="single" w:color="auto" w:sz="8" w:space="0"/>
              <w:left w:val="single" w:color="auto" w:sz="8" w:space="0"/>
              <w:bottom w:val="single" w:color="auto" w:sz="8" w:space="0"/>
              <w:right w:val="single" w:color="auto" w:sz="18" w:space="0"/>
            </w:tcBorders>
            <w:vAlign w:val="center"/>
          </w:tcPr>
          <w:p w14:paraId="449A6F4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合同签订后20日历天内供货安装完毕</w:t>
            </w:r>
          </w:p>
        </w:tc>
      </w:tr>
      <w:tr w14:paraId="765821BB">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58C7D55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w:t>
            </w:r>
          </w:p>
        </w:tc>
        <w:tc>
          <w:tcPr>
            <w:tcW w:w="2125" w:type="dxa"/>
            <w:tcBorders>
              <w:top w:val="single" w:color="auto" w:sz="8" w:space="0"/>
              <w:left w:val="single" w:color="auto" w:sz="8" w:space="0"/>
              <w:bottom w:val="single" w:color="auto" w:sz="8" w:space="0"/>
              <w:right w:val="single" w:color="auto" w:sz="8" w:space="0"/>
            </w:tcBorders>
            <w:vAlign w:val="center"/>
          </w:tcPr>
          <w:p w14:paraId="2281A49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质量要求</w:t>
            </w:r>
          </w:p>
        </w:tc>
        <w:tc>
          <w:tcPr>
            <w:tcW w:w="7037" w:type="dxa"/>
            <w:tcBorders>
              <w:top w:val="single" w:color="auto" w:sz="8" w:space="0"/>
              <w:left w:val="single" w:color="auto" w:sz="8" w:space="0"/>
              <w:bottom w:val="single" w:color="auto" w:sz="8" w:space="0"/>
              <w:right w:val="single" w:color="auto" w:sz="18" w:space="0"/>
            </w:tcBorders>
            <w:vAlign w:val="center"/>
          </w:tcPr>
          <w:p w14:paraId="1F45B68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符合国家或行业相关标准，质量合格</w:t>
            </w:r>
          </w:p>
        </w:tc>
      </w:tr>
      <w:tr w14:paraId="7D2F5780">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264EF38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w:t>
            </w:r>
          </w:p>
        </w:tc>
        <w:tc>
          <w:tcPr>
            <w:tcW w:w="2125" w:type="dxa"/>
            <w:tcBorders>
              <w:top w:val="single" w:color="auto" w:sz="8" w:space="0"/>
              <w:left w:val="single" w:color="auto" w:sz="8" w:space="0"/>
              <w:bottom w:val="single" w:color="auto" w:sz="8" w:space="0"/>
              <w:right w:val="single" w:color="auto" w:sz="8" w:space="0"/>
            </w:tcBorders>
            <w:vAlign w:val="center"/>
          </w:tcPr>
          <w:p w14:paraId="2A4B4C8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质保期</w:t>
            </w:r>
          </w:p>
        </w:tc>
        <w:tc>
          <w:tcPr>
            <w:tcW w:w="7037" w:type="dxa"/>
            <w:tcBorders>
              <w:top w:val="single" w:color="auto" w:sz="8" w:space="0"/>
              <w:left w:val="single" w:color="auto" w:sz="8" w:space="0"/>
              <w:bottom w:val="single" w:color="auto" w:sz="8" w:space="0"/>
              <w:right w:val="single" w:color="auto" w:sz="18" w:space="0"/>
            </w:tcBorders>
            <w:vAlign w:val="center"/>
          </w:tcPr>
          <w:p w14:paraId="09EB8717">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1年（设备有固定质保期的质保期不应低于设备固定质保期）</w:t>
            </w:r>
          </w:p>
        </w:tc>
      </w:tr>
      <w:tr w14:paraId="40CF113D">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70789B7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w:t>
            </w:r>
          </w:p>
        </w:tc>
        <w:tc>
          <w:tcPr>
            <w:tcW w:w="2125" w:type="dxa"/>
            <w:tcBorders>
              <w:top w:val="single" w:color="auto" w:sz="8" w:space="0"/>
              <w:left w:val="single" w:color="auto" w:sz="8" w:space="0"/>
              <w:bottom w:val="single" w:color="auto" w:sz="8" w:space="0"/>
              <w:right w:val="single" w:color="auto" w:sz="8" w:space="0"/>
            </w:tcBorders>
            <w:vAlign w:val="center"/>
          </w:tcPr>
          <w:p w14:paraId="3E03C60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供应商资格要求</w:t>
            </w:r>
          </w:p>
        </w:tc>
        <w:tc>
          <w:tcPr>
            <w:tcW w:w="7037" w:type="dxa"/>
            <w:tcBorders>
              <w:top w:val="single" w:color="auto" w:sz="8" w:space="0"/>
              <w:left w:val="single" w:color="auto" w:sz="8" w:space="0"/>
              <w:bottom w:val="single" w:color="auto" w:sz="8" w:space="0"/>
              <w:right w:val="single" w:color="auto" w:sz="18" w:space="0"/>
            </w:tcBorders>
            <w:vAlign w:val="center"/>
          </w:tcPr>
          <w:p w14:paraId="3746BB72">
            <w:pPr>
              <w:spacing w:line="360"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同招标公告“二、申请人资格要求”</w:t>
            </w:r>
          </w:p>
        </w:tc>
      </w:tr>
      <w:tr w14:paraId="7A5AC2E6">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2018DE8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w:t>
            </w:r>
          </w:p>
        </w:tc>
        <w:tc>
          <w:tcPr>
            <w:tcW w:w="2125" w:type="dxa"/>
            <w:tcBorders>
              <w:top w:val="single" w:color="auto" w:sz="8" w:space="0"/>
              <w:left w:val="single" w:color="auto" w:sz="8" w:space="0"/>
              <w:bottom w:val="single" w:color="auto" w:sz="8" w:space="0"/>
              <w:right w:val="single" w:color="auto" w:sz="8" w:space="0"/>
            </w:tcBorders>
            <w:vAlign w:val="center"/>
          </w:tcPr>
          <w:p w14:paraId="15598D8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联合体投标</w:t>
            </w:r>
          </w:p>
        </w:tc>
        <w:tc>
          <w:tcPr>
            <w:tcW w:w="7037" w:type="dxa"/>
            <w:tcBorders>
              <w:top w:val="single" w:color="auto" w:sz="8" w:space="0"/>
              <w:left w:val="single" w:color="auto" w:sz="8" w:space="0"/>
              <w:bottom w:val="single" w:color="auto" w:sz="8" w:space="0"/>
              <w:right w:val="single" w:color="auto" w:sz="18" w:space="0"/>
            </w:tcBorders>
            <w:vAlign w:val="center"/>
          </w:tcPr>
          <w:p w14:paraId="493070A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本项目不接受联合体投标</w:t>
            </w:r>
          </w:p>
        </w:tc>
      </w:tr>
      <w:tr w14:paraId="2C6EC366">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529BE09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w:t>
            </w:r>
          </w:p>
        </w:tc>
        <w:tc>
          <w:tcPr>
            <w:tcW w:w="2125" w:type="dxa"/>
            <w:tcBorders>
              <w:top w:val="single" w:color="auto" w:sz="8" w:space="0"/>
              <w:left w:val="single" w:color="auto" w:sz="8" w:space="0"/>
              <w:bottom w:val="single" w:color="auto" w:sz="8" w:space="0"/>
              <w:right w:val="single" w:color="auto" w:sz="8" w:space="0"/>
            </w:tcBorders>
            <w:vAlign w:val="center"/>
          </w:tcPr>
          <w:p w14:paraId="3655EAB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现场勘察、标前答疑会</w:t>
            </w:r>
          </w:p>
        </w:tc>
        <w:tc>
          <w:tcPr>
            <w:tcW w:w="7037" w:type="dxa"/>
            <w:tcBorders>
              <w:top w:val="single" w:color="auto" w:sz="8" w:space="0"/>
              <w:left w:val="single" w:color="auto" w:sz="8" w:space="0"/>
              <w:bottom w:val="single" w:color="auto" w:sz="8" w:space="0"/>
              <w:right w:val="single" w:color="auto" w:sz="18" w:space="0"/>
            </w:tcBorders>
            <w:vAlign w:val="center"/>
          </w:tcPr>
          <w:p w14:paraId="2374A88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如采购单位认为有必要，另行书面通知。</w:t>
            </w:r>
          </w:p>
        </w:tc>
      </w:tr>
      <w:tr w14:paraId="2000BA12">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18D1075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w:t>
            </w:r>
          </w:p>
        </w:tc>
        <w:tc>
          <w:tcPr>
            <w:tcW w:w="2125" w:type="dxa"/>
            <w:tcBorders>
              <w:top w:val="single" w:color="auto" w:sz="8" w:space="0"/>
              <w:left w:val="single" w:color="auto" w:sz="8" w:space="0"/>
              <w:bottom w:val="single" w:color="auto" w:sz="8" w:space="0"/>
              <w:right w:val="single" w:color="auto" w:sz="8" w:space="0"/>
            </w:tcBorders>
            <w:vAlign w:val="center"/>
          </w:tcPr>
          <w:p w14:paraId="750672C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供应商对采购文件</w:t>
            </w:r>
          </w:p>
          <w:p w14:paraId="6CF5D7D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提出质疑的时间</w:t>
            </w:r>
          </w:p>
        </w:tc>
        <w:tc>
          <w:tcPr>
            <w:tcW w:w="7037" w:type="dxa"/>
            <w:tcBorders>
              <w:top w:val="single" w:color="auto" w:sz="8" w:space="0"/>
              <w:left w:val="single" w:color="auto" w:sz="8" w:space="0"/>
              <w:bottom w:val="single" w:color="auto" w:sz="8" w:space="0"/>
              <w:right w:val="single" w:color="auto" w:sz="18" w:space="0"/>
            </w:tcBorders>
            <w:vAlign w:val="center"/>
          </w:tcPr>
          <w:p w14:paraId="47B327E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提疑于</w:t>
            </w:r>
            <w:r>
              <w:rPr>
                <w:rFonts w:hint="eastAsia" w:asciiTheme="minorEastAsia" w:hAnsiTheme="minorEastAsia" w:eastAsiaTheme="minorEastAsia" w:cstheme="minorEastAsia"/>
                <w:color w:val="auto"/>
                <w:kern w:val="0"/>
                <w:sz w:val="21"/>
                <w:szCs w:val="21"/>
                <w:lang w:val="zh-CN"/>
              </w:rPr>
              <w:t>在知道或者应知其权益受到损害之日起</w:t>
            </w:r>
            <w:r>
              <w:rPr>
                <w:rFonts w:hint="eastAsia" w:asciiTheme="minorEastAsia" w:hAnsiTheme="minorEastAsia" w:eastAsiaTheme="minorEastAsia" w:cstheme="minorEastAsia"/>
                <w:color w:val="auto"/>
                <w:kern w:val="0"/>
                <w:sz w:val="21"/>
                <w:szCs w:val="21"/>
              </w:rPr>
              <w:t>7</w:t>
            </w:r>
            <w:r>
              <w:rPr>
                <w:rFonts w:hint="eastAsia" w:asciiTheme="minorEastAsia" w:hAnsiTheme="minorEastAsia" w:eastAsiaTheme="minorEastAsia" w:cstheme="minorEastAsia"/>
                <w:color w:val="auto"/>
                <w:kern w:val="0"/>
                <w:sz w:val="21"/>
                <w:szCs w:val="21"/>
                <w:lang w:val="zh-CN"/>
              </w:rPr>
              <w:t>个工作日内</w:t>
            </w:r>
            <w:r>
              <w:rPr>
                <w:rFonts w:hint="eastAsia" w:asciiTheme="minorEastAsia" w:hAnsiTheme="minorEastAsia" w:eastAsiaTheme="minorEastAsia" w:cstheme="minorEastAsia"/>
                <w:color w:val="auto"/>
                <w:sz w:val="21"/>
                <w:szCs w:val="21"/>
              </w:rPr>
              <w:t>。</w:t>
            </w:r>
          </w:p>
        </w:tc>
      </w:tr>
      <w:tr w14:paraId="4C91A9B1">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19C4314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w:t>
            </w:r>
          </w:p>
        </w:tc>
        <w:tc>
          <w:tcPr>
            <w:tcW w:w="2125" w:type="dxa"/>
            <w:tcBorders>
              <w:top w:val="single" w:color="auto" w:sz="8" w:space="0"/>
              <w:left w:val="single" w:color="auto" w:sz="8" w:space="0"/>
              <w:bottom w:val="single" w:color="auto" w:sz="8" w:space="0"/>
              <w:right w:val="single" w:color="auto" w:sz="8" w:space="0"/>
            </w:tcBorders>
            <w:vAlign w:val="center"/>
          </w:tcPr>
          <w:p w14:paraId="55FDFC6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接收质疑函的方式和联系方式</w:t>
            </w:r>
          </w:p>
        </w:tc>
        <w:tc>
          <w:tcPr>
            <w:tcW w:w="7037" w:type="dxa"/>
            <w:tcBorders>
              <w:top w:val="single" w:color="auto" w:sz="8" w:space="0"/>
              <w:left w:val="single" w:color="auto" w:sz="8" w:space="0"/>
              <w:bottom w:val="single" w:color="auto" w:sz="8" w:space="0"/>
              <w:right w:val="single" w:color="auto" w:sz="18" w:space="0"/>
            </w:tcBorders>
          </w:tcPr>
          <w:p w14:paraId="78AAF8D7">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认为采购文件、采购过程和中标或成交结果使自己的权益受到损害的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 可以在知道或者应知其权益受到损害之日起七个工作日内，按中华人民共和国财政部令第94号《政府采购质疑和投诉办法》的相关规定，以书面形式同时向采购人和采购代理机构提出质疑</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加盖单位公章且法定代表人签字</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，由其授权代表携带法人授权书及本人身份证件提交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邮寄、传真件不予受理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。逾期未提交或未按照要求提交的质疑函将不予受理。</w:t>
            </w:r>
          </w:p>
          <w:p w14:paraId="521948BD">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若有投诉，可按照相关规定以书面形式向监督部门进行投诉。</w:t>
            </w:r>
          </w:p>
          <w:p w14:paraId="2F086596">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（2）质疑函的内容、格式：应符合《政府采购质疑和投诉办法》（财政部第94号令）相关规定和财政部门制定的《政府采购质疑函范本》格式。</w:t>
            </w:r>
          </w:p>
          <w:p w14:paraId="702DE6AF">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应在法定质疑期内一次性提出针对同一采购程序环节的质疑。</w:t>
            </w:r>
          </w:p>
          <w:p w14:paraId="2BF7B472">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（4）接收质疑函联系方式：</w:t>
            </w:r>
          </w:p>
          <w:p w14:paraId="58D25068">
            <w:pPr>
              <w:spacing w:line="360" w:lineRule="auto"/>
              <w:jc w:val="left"/>
              <w:rPr>
                <w:rFonts w:hint="eastAsia" w:ascii="宋体" w:hAnsi="宋体" w:eastAsia="宋体" w:cs="宋体"/>
                <w:color w:val="auto"/>
                <w:sz w:val="21"/>
                <w:szCs w:val="21"/>
              </w:rPr>
            </w:pPr>
            <w:r>
              <w:rPr>
                <w:rFonts w:hint="eastAsia" w:ascii="宋体" w:hAnsi="宋体" w:eastAsia="宋体" w:cs="宋体"/>
                <w:b/>
                <w:bCs/>
                <w:color w:val="auto"/>
                <w:sz w:val="21"/>
                <w:szCs w:val="21"/>
              </w:rPr>
              <w:t>采 购 人：</w:t>
            </w:r>
          </w:p>
          <w:p w14:paraId="29F22118">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名称：平顶山市湛河区教育体育局</w:t>
            </w:r>
          </w:p>
          <w:p w14:paraId="1DF8ABF1">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地址：平顶山市光明路中段启蒙路交叉口</w:t>
            </w:r>
          </w:p>
          <w:p w14:paraId="65BDA923">
            <w:pPr>
              <w:spacing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联系人：熊</w:t>
            </w:r>
            <w:r>
              <w:rPr>
                <w:rFonts w:hint="eastAsia" w:asciiTheme="minorEastAsia" w:hAnsiTheme="minorEastAsia" w:eastAsiaTheme="minorEastAsia" w:cstheme="minorEastAsia"/>
                <w:color w:val="auto"/>
                <w:sz w:val="21"/>
                <w:szCs w:val="21"/>
                <w:lang w:val="en-US" w:eastAsia="zh-CN"/>
              </w:rPr>
              <w:t xml:space="preserve">先生 </w:t>
            </w:r>
          </w:p>
          <w:p w14:paraId="4C790933">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联系方式：0375-7658019 </w:t>
            </w:r>
          </w:p>
          <w:p w14:paraId="6536D5BC">
            <w:pPr>
              <w:spacing w:line="360"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采购代理机构信息</w:t>
            </w:r>
          </w:p>
          <w:p w14:paraId="6FA906A1">
            <w:pPr>
              <w:pStyle w:val="60"/>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名称：河南易采工程管理有限公司</w:t>
            </w:r>
          </w:p>
          <w:p w14:paraId="13B24308">
            <w:pPr>
              <w:pStyle w:val="60"/>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地址：河南省平顶山市未来路中段中梁鹰城壹号院</w:t>
            </w:r>
          </w:p>
          <w:p w14:paraId="6113913B">
            <w:pPr>
              <w:pStyle w:val="60"/>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联系人：吴女士</w:t>
            </w:r>
          </w:p>
          <w:p w14:paraId="78C1AF05">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联系方式：0375-2555998    19939030802</w:t>
            </w:r>
          </w:p>
          <w:p w14:paraId="37BC773C">
            <w:pPr>
              <w:spacing w:line="360" w:lineRule="auto"/>
              <w:jc w:val="left"/>
              <w:rPr>
                <w:rFonts w:hint="eastAsia" w:asciiTheme="minorEastAsia" w:hAnsiTheme="minorEastAsia" w:eastAsiaTheme="minorEastAsia" w:cstheme="minorEastAsia"/>
                <w:color w:val="auto"/>
                <w:sz w:val="21"/>
                <w:szCs w:val="21"/>
              </w:rPr>
            </w:pPr>
            <w:r>
              <w:rPr>
                <w:rFonts w:hint="eastAsia" w:ascii="宋体" w:hAnsi="宋体" w:eastAsia="宋体" w:cs="宋体"/>
                <w:color w:val="auto"/>
                <w:sz w:val="21"/>
                <w:szCs w:val="21"/>
              </w:rPr>
              <w:t>对供应商提出的质疑，采购人、采购代理机构应当依法及时答复和处理，不得推诿扯皮故意刁难</w:t>
            </w:r>
            <w:r>
              <w:rPr>
                <w:rFonts w:hint="eastAsia" w:ascii="宋体" w:hAnsi="宋体" w:eastAsia="宋体" w:cs="宋体"/>
                <w:color w:val="auto"/>
                <w:sz w:val="21"/>
                <w:szCs w:val="21"/>
                <w:lang w:eastAsia="zh-CN"/>
              </w:rPr>
              <w:t>，必</w:t>
            </w:r>
            <w:r>
              <w:rPr>
                <w:rFonts w:hint="eastAsia" w:ascii="宋体" w:hAnsi="宋体" w:eastAsia="宋体" w:cs="宋体"/>
                <w:color w:val="auto"/>
                <w:sz w:val="21"/>
                <w:szCs w:val="21"/>
              </w:rPr>
              <w:t>须进行实质性回应。</w:t>
            </w:r>
          </w:p>
        </w:tc>
      </w:tr>
      <w:tr w14:paraId="28A00D4E">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25774DB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w:t>
            </w:r>
          </w:p>
        </w:tc>
        <w:tc>
          <w:tcPr>
            <w:tcW w:w="2125" w:type="dxa"/>
            <w:tcBorders>
              <w:top w:val="single" w:color="auto" w:sz="8" w:space="0"/>
              <w:left w:val="single" w:color="auto" w:sz="8" w:space="0"/>
              <w:bottom w:val="single" w:color="auto" w:sz="8" w:space="0"/>
              <w:right w:val="single" w:color="auto" w:sz="8" w:space="0"/>
            </w:tcBorders>
            <w:vAlign w:val="center"/>
          </w:tcPr>
          <w:p w14:paraId="58F2625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付款方式</w:t>
            </w:r>
          </w:p>
        </w:tc>
        <w:tc>
          <w:tcPr>
            <w:tcW w:w="7037" w:type="dxa"/>
            <w:tcBorders>
              <w:top w:val="single" w:color="auto" w:sz="8" w:space="0"/>
              <w:left w:val="single" w:color="auto" w:sz="8" w:space="0"/>
              <w:bottom w:val="single" w:color="auto" w:sz="8" w:space="0"/>
              <w:right w:val="single" w:color="auto" w:sz="18" w:space="0"/>
            </w:tcBorders>
            <w:vAlign w:val="center"/>
          </w:tcPr>
          <w:p w14:paraId="2FA13FAF">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合同签订后支付合同总价的30%作为项目预付款，首付款比列为50%。整体项目通过验收后，甲方一次性付清剩余合同款项。</w:t>
            </w:r>
          </w:p>
        </w:tc>
      </w:tr>
      <w:tr w14:paraId="7773B201">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0454FAD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18</w:t>
            </w:r>
          </w:p>
        </w:tc>
        <w:tc>
          <w:tcPr>
            <w:tcW w:w="2125" w:type="dxa"/>
            <w:tcBorders>
              <w:top w:val="single" w:color="auto" w:sz="8" w:space="0"/>
              <w:left w:val="single" w:color="auto" w:sz="8" w:space="0"/>
              <w:bottom w:val="single" w:color="auto" w:sz="8" w:space="0"/>
              <w:right w:val="single" w:color="auto" w:sz="8" w:space="0"/>
            </w:tcBorders>
            <w:vAlign w:val="center"/>
          </w:tcPr>
          <w:p w14:paraId="317994D7">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分包履约</w:t>
            </w:r>
          </w:p>
        </w:tc>
        <w:tc>
          <w:tcPr>
            <w:tcW w:w="7037" w:type="dxa"/>
            <w:tcBorders>
              <w:top w:val="single" w:color="auto" w:sz="8" w:space="0"/>
              <w:left w:val="single" w:color="auto" w:sz="8" w:space="0"/>
              <w:bottom w:val="single" w:color="auto" w:sz="8" w:space="0"/>
              <w:right w:val="single" w:color="auto" w:sz="18" w:space="0"/>
            </w:tcBorders>
            <w:vAlign w:val="center"/>
          </w:tcPr>
          <w:p w14:paraId="2BF4605A">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本项目拒绝分包履约形式履行合同。</w:t>
            </w:r>
          </w:p>
        </w:tc>
      </w:tr>
      <w:tr w14:paraId="12070A99">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2D687CE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19</w:t>
            </w:r>
          </w:p>
        </w:tc>
        <w:tc>
          <w:tcPr>
            <w:tcW w:w="2125" w:type="dxa"/>
            <w:tcBorders>
              <w:top w:val="single" w:color="auto" w:sz="8" w:space="0"/>
              <w:left w:val="single" w:color="auto" w:sz="8" w:space="0"/>
              <w:bottom w:val="single" w:color="auto" w:sz="8" w:space="0"/>
              <w:right w:val="single" w:color="auto" w:sz="8" w:space="0"/>
            </w:tcBorders>
            <w:vAlign w:val="center"/>
          </w:tcPr>
          <w:p w14:paraId="4412FF9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构成采购文件的其他文件</w:t>
            </w:r>
          </w:p>
        </w:tc>
        <w:tc>
          <w:tcPr>
            <w:tcW w:w="7037" w:type="dxa"/>
            <w:tcBorders>
              <w:top w:val="single" w:color="auto" w:sz="8" w:space="0"/>
              <w:left w:val="single" w:color="auto" w:sz="8" w:space="0"/>
              <w:bottom w:val="single" w:color="auto" w:sz="8" w:space="0"/>
              <w:right w:val="single" w:color="auto" w:sz="18" w:space="0"/>
            </w:tcBorders>
            <w:vAlign w:val="center"/>
          </w:tcPr>
          <w:p w14:paraId="212103AC">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采购文件的澄清、修改书及有关补充通知为采购文件的有效组成部分。</w:t>
            </w:r>
          </w:p>
        </w:tc>
      </w:tr>
      <w:tr w14:paraId="2587B5E8">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0CFD6863">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20</w:t>
            </w:r>
          </w:p>
        </w:tc>
        <w:tc>
          <w:tcPr>
            <w:tcW w:w="2125" w:type="dxa"/>
            <w:tcBorders>
              <w:top w:val="single" w:color="auto" w:sz="8" w:space="0"/>
              <w:left w:val="single" w:color="auto" w:sz="8" w:space="0"/>
              <w:bottom w:val="single" w:color="auto" w:sz="8" w:space="0"/>
              <w:right w:val="single" w:color="auto" w:sz="8" w:space="0"/>
            </w:tcBorders>
            <w:vAlign w:val="center"/>
          </w:tcPr>
          <w:p w14:paraId="0362B45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投标截止时间</w:t>
            </w:r>
          </w:p>
        </w:tc>
        <w:tc>
          <w:tcPr>
            <w:tcW w:w="7037" w:type="dxa"/>
            <w:tcBorders>
              <w:top w:val="single" w:color="auto" w:sz="8" w:space="0"/>
              <w:left w:val="single" w:color="auto" w:sz="8" w:space="0"/>
              <w:bottom w:val="single" w:color="auto" w:sz="8" w:space="0"/>
              <w:right w:val="single" w:color="auto" w:sz="18" w:space="0"/>
            </w:tcBorders>
            <w:vAlign w:val="center"/>
          </w:tcPr>
          <w:p w14:paraId="3119BDB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202</w:t>
            </w: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 w:val="21"/>
                <w:szCs w:val="21"/>
              </w:rPr>
              <w:t>年</w:t>
            </w:r>
            <w:r>
              <w:rPr>
                <w:rFonts w:hint="eastAsia" w:asciiTheme="minorEastAsia" w:hAnsiTheme="minorEastAsia" w:eastAsiaTheme="minorEastAsia" w:cstheme="minorEastAsia"/>
                <w:color w:val="auto"/>
                <w:sz w:val="21"/>
                <w:szCs w:val="21"/>
                <w:lang w:val="en-US" w:eastAsia="zh-CN"/>
              </w:rPr>
              <w:t>08</w:t>
            </w:r>
            <w:r>
              <w:rPr>
                <w:rFonts w:hint="eastAsia" w:asciiTheme="minorEastAsia" w:hAnsiTheme="minorEastAsia" w:eastAsiaTheme="minorEastAsia" w:cstheme="minorEastAsia"/>
                <w:color w:val="auto"/>
                <w:sz w:val="21"/>
                <w:szCs w:val="21"/>
              </w:rPr>
              <w:t>月</w:t>
            </w:r>
            <w:r>
              <w:rPr>
                <w:rFonts w:hint="eastAsia" w:asciiTheme="minorEastAsia" w:hAnsiTheme="minorEastAsia" w:eastAsiaTheme="minorEastAsia" w:cstheme="minorEastAsia"/>
                <w:color w:val="auto"/>
                <w:sz w:val="21"/>
                <w:szCs w:val="21"/>
                <w:lang w:val="en-US" w:eastAsia="zh-CN"/>
              </w:rPr>
              <w:t xml:space="preserve">18 </w:t>
            </w:r>
            <w:r>
              <w:rPr>
                <w:rFonts w:hint="eastAsia" w:asciiTheme="minorEastAsia" w:hAnsiTheme="minorEastAsia" w:eastAsiaTheme="minorEastAsia" w:cstheme="minorEastAsia"/>
                <w:color w:val="auto"/>
                <w:sz w:val="21"/>
                <w:szCs w:val="21"/>
              </w:rPr>
              <w:t>日</w:t>
            </w:r>
            <w:r>
              <w:rPr>
                <w:rFonts w:hint="eastAsia" w:asciiTheme="minorEastAsia" w:hAnsiTheme="minorEastAsia" w:eastAsiaTheme="minorEastAsia" w:cstheme="minorEastAsia"/>
                <w:color w:val="auto"/>
                <w:sz w:val="21"/>
                <w:szCs w:val="21"/>
                <w:lang w:val="en-US" w:eastAsia="zh-CN"/>
              </w:rPr>
              <w:t>9</w:t>
            </w:r>
            <w:r>
              <w:rPr>
                <w:rFonts w:hint="eastAsia" w:asciiTheme="minorEastAsia" w:hAnsiTheme="minorEastAsia" w:eastAsiaTheme="minorEastAsia" w:cstheme="minorEastAsia"/>
                <w:color w:val="auto"/>
                <w:sz w:val="21"/>
                <w:szCs w:val="21"/>
              </w:rPr>
              <w:t>时</w:t>
            </w:r>
            <w:r>
              <w:rPr>
                <w:rFonts w:hint="eastAsia" w:asciiTheme="minorEastAsia" w:hAnsiTheme="minorEastAsia" w:eastAsiaTheme="minorEastAsia" w:cstheme="minorEastAsia"/>
                <w:color w:val="auto"/>
                <w:sz w:val="21"/>
                <w:szCs w:val="21"/>
                <w:lang w:val="en-US" w:eastAsia="zh-CN"/>
              </w:rPr>
              <w:t>00</w:t>
            </w:r>
            <w:r>
              <w:rPr>
                <w:rFonts w:hint="eastAsia" w:asciiTheme="minorEastAsia" w:hAnsiTheme="minorEastAsia" w:eastAsiaTheme="minorEastAsia" w:cstheme="minorEastAsia"/>
                <w:color w:val="auto"/>
                <w:sz w:val="21"/>
                <w:szCs w:val="21"/>
              </w:rPr>
              <w:t>分（北京时间）</w:t>
            </w:r>
          </w:p>
        </w:tc>
      </w:tr>
      <w:tr w14:paraId="4F7A7F07">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53E0819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w:t>
            </w:r>
          </w:p>
        </w:tc>
        <w:tc>
          <w:tcPr>
            <w:tcW w:w="2125" w:type="dxa"/>
            <w:tcBorders>
              <w:top w:val="single" w:color="auto" w:sz="8" w:space="0"/>
              <w:left w:val="single" w:color="auto" w:sz="8" w:space="0"/>
              <w:bottom w:val="single" w:color="auto" w:sz="8" w:space="0"/>
              <w:right w:val="single" w:color="auto" w:sz="8" w:space="0"/>
            </w:tcBorders>
            <w:vAlign w:val="center"/>
          </w:tcPr>
          <w:p w14:paraId="6E528C9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投标有效期</w:t>
            </w:r>
          </w:p>
        </w:tc>
        <w:tc>
          <w:tcPr>
            <w:tcW w:w="7037" w:type="dxa"/>
            <w:tcBorders>
              <w:top w:val="single" w:color="auto" w:sz="8" w:space="0"/>
              <w:left w:val="single" w:color="auto" w:sz="8" w:space="0"/>
              <w:bottom w:val="single" w:color="auto" w:sz="8" w:space="0"/>
              <w:right w:val="single" w:color="auto" w:sz="18" w:space="0"/>
            </w:tcBorders>
            <w:vAlign w:val="center"/>
          </w:tcPr>
          <w:p w14:paraId="448419D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90日历天</w:t>
            </w:r>
          </w:p>
        </w:tc>
      </w:tr>
      <w:tr w14:paraId="203CA406">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01E1AA4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w:t>
            </w:r>
          </w:p>
        </w:tc>
        <w:tc>
          <w:tcPr>
            <w:tcW w:w="2125" w:type="dxa"/>
            <w:tcBorders>
              <w:top w:val="single" w:color="auto" w:sz="8" w:space="0"/>
              <w:left w:val="single" w:color="auto" w:sz="8" w:space="0"/>
              <w:bottom w:val="single" w:color="auto" w:sz="8" w:space="0"/>
              <w:right w:val="single" w:color="auto" w:sz="8" w:space="0"/>
            </w:tcBorders>
            <w:vAlign w:val="center"/>
          </w:tcPr>
          <w:p w14:paraId="32F3697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备选投标方案</w:t>
            </w:r>
          </w:p>
        </w:tc>
        <w:tc>
          <w:tcPr>
            <w:tcW w:w="7037" w:type="dxa"/>
            <w:tcBorders>
              <w:top w:val="single" w:color="auto" w:sz="8" w:space="0"/>
              <w:left w:val="single" w:color="auto" w:sz="8" w:space="0"/>
              <w:bottom w:val="single" w:color="auto" w:sz="8" w:space="0"/>
              <w:right w:val="single" w:color="auto" w:sz="18" w:space="0"/>
            </w:tcBorders>
            <w:vAlign w:val="center"/>
          </w:tcPr>
          <w:p w14:paraId="63C7705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不接受备选投标方案。</w:t>
            </w:r>
          </w:p>
        </w:tc>
      </w:tr>
      <w:tr w14:paraId="79308298">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370022B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w:t>
            </w:r>
          </w:p>
        </w:tc>
        <w:tc>
          <w:tcPr>
            <w:tcW w:w="2125" w:type="dxa"/>
            <w:tcBorders>
              <w:top w:val="single" w:color="auto" w:sz="8" w:space="0"/>
              <w:left w:val="single" w:color="auto" w:sz="8" w:space="0"/>
              <w:bottom w:val="single" w:color="auto" w:sz="8" w:space="0"/>
              <w:right w:val="single" w:color="auto" w:sz="8" w:space="0"/>
            </w:tcBorders>
            <w:vAlign w:val="center"/>
          </w:tcPr>
          <w:p w14:paraId="05473C4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电子化投标文件的</w:t>
            </w:r>
          </w:p>
          <w:p w14:paraId="0BA20C6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签章</w:t>
            </w:r>
          </w:p>
        </w:tc>
        <w:tc>
          <w:tcPr>
            <w:tcW w:w="7037" w:type="dxa"/>
            <w:tcBorders>
              <w:top w:val="single" w:color="auto" w:sz="8" w:space="0"/>
              <w:left w:val="single" w:color="auto" w:sz="8" w:space="0"/>
              <w:bottom w:val="single" w:color="auto" w:sz="8" w:space="0"/>
              <w:right w:val="single" w:color="auto" w:sz="18" w:space="0"/>
            </w:tcBorders>
            <w:vAlign w:val="center"/>
          </w:tcPr>
          <w:p w14:paraId="605F2FA4">
            <w:pPr>
              <w:pStyle w:val="82"/>
              <w:spacing w:before="2"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1、供应商在生成电子化投标文件后，应对电子化投标文件进行签章，未进行签章的视为无效投标。</w:t>
            </w:r>
          </w:p>
          <w:p w14:paraId="12D5F0C7">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2、招标文件中要求法定代表人或授权委托人签字或盖章的，</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在进行电子化投标文件签章时，以签盖法定代表人签章为准。电子化投标文件具体制作教材请</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通过CA证书登录平顶山市公共资源电子化交易系统在右上角“组建下载”中查看。</w:t>
            </w:r>
          </w:p>
        </w:tc>
      </w:tr>
      <w:tr w14:paraId="0A955D17">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6818993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w:t>
            </w:r>
          </w:p>
        </w:tc>
        <w:tc>
          <w:tcPr>
            <w:tcW w:w="2125" w:type="dxa"/>
            <w:tcBorders>
              <w:top w:val="single" w:color="auto" w:sz="8" w:space="0"/>
              <w:left w:val="single" w:color="auto" w:sz="8" w:space="0"/>
              <w:bottom w:val="single" w:color="auto" w:sz="8" w:space="0"/>
              <w:right w:val="single" w:color="auto" w:sz="8" w:space="0"/>
            </w:tcBorders>
            <w:vAlign w:val="center"/>
          </w:tcPr>
          <w:p w14:paraId="3C81BA2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电子化投标文件的格式及上传投标</w:t>
            </w:r>
          </w:p>
        </w:tc>
        <w:tc>
          <w:tcPr>
            <w:tcW w:w="7037" w:type="dxa"/>
            <w:tcBorders>
              <w:top w:val="single" w:color="auto" w:sz="8" w:space="0"/>
              <w:left w:val="single" w:color="auto" w:sz="8" w:space="0"/>
              <w:bottom w:val="single" w:color="auto" w:sz="8" w:space="0"/>
              <w:right w:val="single" w:color="auto" w:sz="18" w:space="0"/>
            </w:tcBorders>
            <w:vAlign w:val="center"/>
          </w:tcPr>
          <w:p w14:paraId="77868FB1">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随身携带。</w:t>
            </w:r>
          </w:p>
          <w:p w14:paraId="7B5C38CB">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注：</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投报多个标段的，根据标段制作各个标段的投标文件后上传。</w:t>
            </w:r>
          </w:p>
          <w:p w14:paraId="774D800D">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2、电子化投标文件应在投标截止时间前成功上传至平顶山市公共资源电子化交易系统。至投标截止时间止，仍未上传成功的电子化投标文件将不予接收。</w:t>
            </w:r>
          </w:p>
          <w:p w14:paraId="642AF97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注：如按照电子化投标操作教材制作完成的电子化投标文件无法上传的，</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应在投标截止时间前尽早的联系中心技术人员，以便有充分的时间进行处理。</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应充分考虑到处理技术问题和上传数据等工作所需的时间问题，投标文件未在投标截止时间前成功上传的，其投标文件不予接收。</w:t>
            </w:r>
          </w:p>
        </w:tc>
      </w:tr>
      <w:tr w14:paraId="36C85B1B">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08FD016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25</w:t>
            </w:r>
          </w:p>
        </w:tc>
        <w:tc>
          <w:tcPr>
            <w:tcW w:w="2125" w:type="dxa"/>
            <w:tcBorders>
              <w:top w:val="single" w:color="auto" w:sz="8" w:space="0"/>
              <w:left w:val="single" w:color="auto" w:sz="8" w:space="0"/>
              <w:bottom w:val="single" w:color="auto" w:sz="8" w:space="0"/>
              <w:right w:val="single" w:color="auto" w:sz="8" w:space="0"/>
            </w:tcBorders>
            <w:vAlign w:val="center"/>
          </w:tcPr>
          <w:p w14:paraId="15246D6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投标文件的递交</w:t>
            </w:r>
          </w:p>
        </w:tc>
        <w:tc>
          <w:tcPr>
            <w:tcW w:w="7037" w:type="dxa"/>
            <w:tcBorders>
              <w:top w:val="single" w:color="auto" w:sz="8" w:space="0"/>
              <w:left w:val="single" w:color="auto" w:sz="8" w:space="0"/>
              <w:bottom w:val="single" w:color="auto" w:sz="8" w:space="0"/>
              <w:right w:val="single" w:color="auto" w:sz="18" w:space="0"/>
            </w:tcBorders>
            <w:vAlign w:val="center"/>
          </w:tcPr>
          <w:p w14:paraId="1BC6BC54">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供应商应于</w:t>
            </w:r>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 xml:space="preserve">18 </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00</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color w:val="auto"/>
                <w:sz w:val="21"/>
                <w:szCs w:val="21"/>
              </w:rPr>
              <w:t>（北京时间）前将投标文件电子版提交到平顶山市公共资源电子化交易系统，逾期送达的不予受理。</w:t>
            </w:r>
          </w:p>
        </w:tc>
      </w:tr>
      <w:tr w14:paraId="7F1A1246">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657AA5D3">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26</w:t>
            </w:r>
          </w:p>
        </w:tc>
        <w:tc>
          <w:tcPr>
            <w:tcW w:w="2125" w:type="dxa"/>
            <w:tcBorders>
              <w:top w:val="single" w:color="auto" w:sz="8" w:space="0"/>
              <w:left w:val="single" w:color="auto" w:sz="8" w:space="0"/>
              <w:bottom w:val="single" w:color="auto" w:sz="8" w:space="0"/>
              <w:right w:val="single" w:color="auto" w:sz="8" w:space="0"/>
            </w:tcBorders>
            <w:vAlign w:val="center"/>
          </w:tcPr>
          <w:p w14:paraId="23D05F2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递交投标文件地点</w:t>
            </w:r>
          </w:p>
        </w:tc>
        <w:tc>
          <w:tcPr>
            <w:tcW w:w="7037" w:type="dxa"/>
            <w:tcBorders>
              <w:top w:val="single" w:color="auto" w:sz="8" w:space="0"/>
              <w:left w:val="single" w:color="auto" w:sz="8" w:space="0"/>
              <w:bottom w:val="single" w:color="auto" w:sz="8" w:space="0"/>
              <w:right w:val="single" w:color="auto" w:sz="18" w:space="0"/>
            </w:tcBorders>
            <w:vAlign w:val="center"/>
          </w:tcPr>
          <w:p w14:paraId="256712D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平顶山市公共资源交易中心电子系统</w:t>
            </w:r>
          </w:p>
        </w:tc>
      </w:tr>
      <w:tr w14:paraId="7A62000B">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39627087">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27</w:t>
            </w:r>
          </w:p>
        </w:tc>
        <w:tc>
          <w:tcPr>
            <w:tcW w:w="2125" w:type="dxa"/>
            <w:tcBorders>
              <w:top w:val="single" w:color="auto" w:sz="8" w:space="0"/>
              <w:left w:val="single" w:color="auto" w:sz="8" w:space="0"/>
              <w:bottom w:val="single" w:color="auto" w:sz="8" w:space="0"/>
              <w:right w:val="single" w:color="auto" w:sz="8" w:space="0"/>
            </w:tcBorders>
            <w:vAlign w:val="center"/>
          </w:tcPr>
          <w:p w14:paraId="20A599F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开标时间和地点</w:t>
            </w:r>
          </w:p>
        </w:tc>
        <w:tc>
          <w:tcPr>
            <w:tcW w:w="7037" w:type="dxa"/>
            <w:tcBorders>
              <w:top w:val="single" w:color="auto" w:sz="8" w:space="0"/>
              <w:left w:val="single" w:color="auto" w:sz="8" w:space="0"/>
              <w:bottom w:val="single" w:color="auto" w:sz="8" w:space="0"/>
              <w:right w:val="single" w:color="auto" w:sz="18" w:space="0"/>
            </w:tcBorders>
            <w:vAlign w:val="center"/>
          </w:tcPr>
          <w:p w14:paraId="3D83B718">
            <w:pPr>
              <w:spacing w:line="360" w:lineRule="auto"/>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b/>
                <w:color w:val="auto"/>
                <w:sz w:val="21"/>
                <w:szCs w:val="21"/>
              </w:rPr>
              <w:t>开标时间：</w:t>
            </w:r>
            <w:r>
              <w:rPr>
                <w:rFonts w:hint="eastAsia" w:asciiTheme="minorEastAsia" w:hAnsiTheme="minorEastAsia" w:eastAsiaTheme="minorEastAsia" w:cstheme="minorEastAsia"/>
                <w:color w:val="auto"/>
                <w:sz w:val="21"/>
                <w:szCs w:val="21"/>
              </w:rPr>
              <w:t>同投标截止时间</w:t>
            </w:r>
          </w:p>
          <w:p w14:paraId="4017D5E2">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开标地点：</w:t>
            </w:r>
            <w:r>
              <w:rPr>
                <w:rFonts w:hint="eastAsia" w:asciiTheme="minorEastAsia" w:hAnsiTheme="minorEastAsia" w:eastAsiaTheme="minorEastAsia" w:cstheme="minorEastAsia"/>
                <w:color w:val="auto"/>
                <w:sz w:val="21"/>
                <w:szCs w:val="21"/>
              </w:rPr>
              <w:t>平顶山市公共资源交易中心电子系统。</w:t>
            </w:r>
          </w:p>
          <w:p w14:paraId="5AFE632A">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注：全面实行在线“不见面”开标，</w:t>
            </w:r>
            <w:r>
              <w:rPr>
                <w:rFonts w:hint="eastAsia" w:asciiTheme="minorEastAsia" w:hAnsiTheme="minorEastAsia" w:eastAsiaTheme="minorEastAsia" w:cstheme="minorEastAsia"/>
                <w:b/>
                <w:color w:val="auto"/>
                <w:sz w:val="21"/>
                <w:szCs w:val="21"/>
                <w:lang w:eastAsia="zh-CN"/>
              </w:rPr>
              <w:t>供应商</w:t>
            </w:r>
            <w:r>
              <w:rPr>
                <w:rFonts w:hint="eastAsia" w:asciiTheme="minorEastAsia" w:hAnsiTheme="minorEastAsia" w:eastAsiaTheme="minorEastAsia" w:cstheme="minorEastAsia"/>
                <w:b/>
                <w:color w:val="auto"/>
                <w:sz w:val="21"/>
                <w:szCs w:val="21"/>
              </w:rPr>
              <w:t>远程在线解密投标文件，不再到开标现场，</w:t>
            </w:r>
            <w:r>
              <w:rPr>
                <w:rFonts w:hint="eastAsia" w:asciiTheme="minorEastAsia" w:hAnsiTheme="minorEastAsia" w:eastAsiaTheme="minorEastAsia" w:cstheme="minorEastAsia"/>
                <w:b/>
                <w:color w:val="auto"/>
                <w:sz w:val="21"/>
                <w:szCs w:val="21"/>
                <w:lang w:eastAsia="zh-CN"/>
              </w:rPr>
              <w:t>供应商</w:t>
            </w:r>
            <w:r>
              <w:rPr>
                <w:rFonts w:hint="eastAsia" w:asciiTheme="minorEastAsia" w:hAnsiTheme="minorEastAsia" w:eastAsiaTheme="minorEastAsia" w:cstheme="minorEastAsia"/>
                <w:b/>
                <w:color w:val="auto"/>
                <w:sz w:val="21"/>
                <w:szCs w:val="21"/>
              </w:rPr>
              <w:t>开标前应仔细阅读《“不见面”开标注意事项及操作流程》。</w:t>
            </w:r>
          </w:p>
        </w:tc>
      </w:tr>
      <w:tr w14:paraId="09F7ECED">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6AACC2B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28</w:t>
            </w:r>
          </w:p>
        </w:tc>
        <w:tc>
          <w:tcPr>
            <w:tcW w:w="2125" w:type="dxa"/>
            <w:tcBorders>
              <w:top w:val="single" w:color="auto" w:sz="8" w:space="0"/>
              <w:left w:val="single" w:color="auto" w:sz="8" w:space="0"/>
              <w:bottom w:val="single" w:color="auto" w:sz="8" w:space="0"/>
              <w:right w:val="single" w:color="auto" w:sz="8" w:space="0"/>
            </w:tcBorders>
            <w:vAlign w:val="center"/>
          </w:tcPr>
          <w:p w14:paraId="67A5871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评审小组的组建</w:t>
            </w:r>
          </w:p>
        </w:tc>
        <w:tc>
          <w:tcPr>
            <w:tcW w:w="7037" w:type="dxa"/>
            <w:tcBorders>
              <w:top w:val="single" w:color="auto" w:sz="8" w:space="0"/>
              <w:left w:val="single" w:color="auto" w:sz="8" w:space="0"/>
              <w:bottom w:val="single" w:color="auto" w:sz="8" w:space="0"/>
              <w:right w:val="single" w:color="auto" w:sz="18" w:space="0"/>
            </w:tcBorders>
            <w:vAlign w:val="center"/>
          </w:tcPr>
          <w:p w14:paraId="2CD08FD7">
            <w:pPr>
              <w:autoSpaceDE w:val="0"/>
              <w:autoSpaceDN w:val="0"/>
              <w:spacing w:before="1" w:line="360" w:lineRule="auto"/>
              <w:ind w:left="103" w:right="-20"/>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评审小组由采购人的代表和有关评审等方面的专家组成，成员人数为5人以上单数。</w:t>
            </w:r>
          </w:p>
          <w:p w14:paraId="0BC3B51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注</w:t>
            </w:r>
            <w:r>
              <w:rPr>
                <w:rFonts w:hint="eastAsia" w:asciiTheme="minorEastAsia" w:hAnsiTheme="minorEastAsia" w:eastAsiaTheme="minorEastAsia" w:cstheme="minorEastAsia"/>
                <w:b/>
                <w:bCs/>
                <w:color w:val="auto"/>
                <w:spacing w:val="1"/>
                <w:sz w:val="21"/>
                <w:szCs w:val="21"/>
              </w:rPr>
              <w:t>：</w:t>
            </w:r>
            <w:r>
              <w:rPr>
                <w:rFonts w:hint="eastAsia" w:asciiTheme="minorEastAsia" w:hAnsiTheme="minorEastAsia" w:eastAsiaTheme="minorEastAsia" w:cstheme="minorEastAsia"/>
                <w:b/>
                <w:color w:val="auto"/>
                <w:sz w:val="21"/>
                <w:szCs w:val="21"/>
              </w:rPr>
              <w:t>上述规定为一组评标专家组成方式，根据项目标段数量和评标工作量，可由由多组专家完成评审，但一个标段只能由一组专家评审。</w:t>
            </w:r>
          </w:p>
        </w:tc>
      </w:tr>
      <w:tr w14:paraId="3EC5A9CB">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7623246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29</w:t>
            </w:r>
          </w:p>
        </w:tc>
        <w:tc>
          <w:tcPr>
            <w:tcW w:w="2125" w:type="dxa"/>
            <w:tcBorders>
              <w:top w:val="single" w:color="auto" w:sz="8" w:space="0"/>
              <w:left w:val="single" w:color="auto" w:sz="8" w:space="0"/>
              <w:bottom w:val="single" w:color="auto" w:sz="8" w:space="0"/>
              <w:right w:val="single" w:color="auto" w:sz="8" w:space="0"/>
            </w:tcBorders>
            <w:vAlign w:val="center"/>
          </w:tcPr>
          <w:p w14:paraId="043ACEA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代理费</w:t>
            </w:r>
          </w:p>
        </w:tc>
        <w:tc>
          <w:tcPr>
            <w:tcW w:w="7037" w:type="dxa"/>
            <w:tcBorders>
              <w:top w:val="single" w:color="auto" w:sz="8" w:space="0"/>
              <w:left w:val="single" w:color="auto" w:sz="8" w:space="0"/>
              <w:bottom w:val="single" w:color="auto" w:sz="8" w:space="0"/>
              <w:right w:val="single" w:color="auto" w:sz="18" w:space="0"/>
            </w:tcBorders>
            <w:vAlign w:val="center"/>
          </w:tcPr>
          <w:p w14:paraId="59B0B48B">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参照豫招协【2023】002号文和发改价格【2015】299号的规定，</w:t>
            </w:r>
            <w:r>
              <w:rPr>
                <w:rFonts w:hint="eastAsia" w:asciiTheme="minorEastAsia" w:hAnsiTheme="minorEastAsia" w:eastAsiaTheme="minorEastAsia" w:cstheme="minorEastAsia"/>
                <w:color w:val="auto"/>
                <w:kern w:val="0"/>
                <w:sz w:val="21"/>
                <w:szCs w:val="21"/>
              </w:rPr>
              <w:t>由中标人在中标结果公示后向招标代理机构全额交纳招标代理服务费</w:t>
            </w:r>
            <w:r>
              <w:rPr>
                <w:rFonts w:hint="eastAsia" w:asciiTheme="minorEastAsia" w:hAnsiTheme="minorEastAsia" w:eastAsiaTheme="minorEastAsia" w:cstheme="minorEastAsia"/>
                <w:color w:val="auto"/>
                <w:kern w:val="0"/>
                <w:sz w:val="21"/>
                <w:szCs w:val="21"/>
                <w:lang w:val="en-US" w:eastAsia="zh-CN"/>
              </w:rPr>
              <w:t>15708.00</w:t>
            </w:r>
            <w:r>
              <w:rPr>
                <w:rFonts w:hint="eastAsia" w:asciiTheme="minorEastAsia" w:hAnsiTheme="minorEastAsia" w:eastAsiaTheme="minorEastAsia" w:cstheme="minorEastAsia"/>
                <w:color w:val="auto"/>
                <w:sz w:val="21"/>
                <w:szCs w:val="21"/>
              </w:rPr>
              <w:t>元</w:t>
            </w:r>
            <w:r>
              <w:rPr>
                <w:rFonts w:hint="eastAsia" w:asciiTheme="minorEastAsia" w:hAnsiTheme="minorEastAsia" w:eastAsiaTheme="minorEastAsia" w:cstheme="minorEastAsia"/>
                <w:color w:val="auto"/>
                <w:kern w:val="0"/>
                <w:sz w:val="21"/>
                <w:szCs w:val="21"/>
              </w:rPr>
              <w:t>。</w:t>
            </w:r>
          </w:p>
        </w:tc>
      </w:tr>
      <w:tr w14:paraId="2A4053F3">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16DEF9DD">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30</w:t>
            </w:r>
          </w:p>
        </w:tc>
        <w:tc>
          <w:tcPr>
            <w:tcW w:w="2125" w:type="dxa"/>
            <w:tcBorders>
              <w:top w:val="single" w:color="auto" w:sz="8" w:space="0"/>
              <w:left w:val="single" w:color="auto" w:sz="8" w:space="0"/>
              <w:bottom w:val="single" w:color="auto" w:sz="8" w:space="0"/>
              <w:right w:val="single" w:color="auto" w:sz="8" w:space="0"/>
            </w:tcBorders>
            <w:vAlign w:val="center"/>
          </w:tcPr>
          <w:p w14:paraId="2B35A61F">
            <w:pPr>
              <w:spacing w:line="360" w:lineRule="auto"/>
              <w:jc w:val="center"/>
              <w:rPr>
                <w:rFonts w:hint="eastAsia" w:asciiTheme="minorEastAsia" w:hAnsiTheme="minorEastAsia" w:eastAsiaTheme="minorEastAsia" w:cstheme="minorEastAsia"/>
                <w:color w:val="auto"/>
                <w:sz w:val="21"/>
                <w:szCs w:val="21"/>
              </w:rPr>
            </w:pPr>
            <w:r>
              <w:rPr>
                <w:rFonts w:hint="eastAsia" w:ascii="宋体" w:hAnsi="宋体" w:cs="宋体"/>
                <w:color w:val="auto"/>
                <w:sz w:val="21"/>
                <w:szCs w:val="21"/>
              </w:rPr>
              <w:t>验收要求</w:t>
            </w:r>
          </w:p>
        </w:tc>
        <w:tc>
          <w:tcPr>
            <w:tcW w:w="7037" w:type="dxa"/>
            <w:tcBorders>
              <w:top w:val="single" w:color="auto" w:sz="8" w:space="0"/>
              <w:left w:val="single" w:color="auto" w:sz="8" w:space="0"/>
              <w:bottom w:val="single" w:color="auto" w:sz="8" w:space="0"/>
              <w:right w:val="single" w:color="auto" w:sz="18" w:space="0"/>
            </w:tcBorders>
            <w:vAlign w:val="top"/>
          </w:tcPr>
          <w:p w14:paraId="474E12EA">
            <w:pPr>
              <w:pStyle w:val="18"/>
              <w:spacing w:line="360" w:lineRule="auto"/>
              <w:rPr>
                <w:rFonts w:hint="default" w:ascii="宋体" w:hAnsi="宋体" w:eastAsia="宋体" w:cs="宋体"/>
                <w:color w:val="auto"/>
                <w:kern w:val="2"/>
                <w:sz w:val="21"/>
                <w:szCs w:val="21"/>
                <w:lang w:val="en-US" w:eastAsia="zh-CN" w:bidi="ar-SA"/>
              </w:rPr>
            </w:pPr>
            <w:r>
              <w:rPr>
                <w:rFonts w:hint="default" w:ascii="宋体" w:hAnsi="宋体" w:eastAsia="宋体" w:cs="宋体"/>
                <w:color w:val="auto"/>
                <w:kern w:val="2"/>
                <w:sz w:val="21"/>
                <w:szCs w:val="21"/>
                <w:lang w:val="en-US" w:eastAsia="zh-CN" w:bidi="ar-SA"/>
              </w:rPr>
              <w:t>1.采购人有权委托具备相应资质的第三方专业机构（河南省教育资源保障中心）对本项目进行验收，验收费用由乙方(中标供应商)承担，已包含在合同总价中，甲方(采购人)不另行支付。</w:t>
            </w:r>
          </w:p>
          <w:p w14:paraId="3F081E1B">
            <w:pPr>
              <w:pStyle w:val="18"/>
              <w:spacing w:line="360" w:lineRule="auto"/>
              <w:rPr>
                <w:rFonts w:hint="eastAsia" w:asciiTheme="minorEastAsia" w:hAnsiTheme="minorEastAsia" w:eastAsiaTheme="minorEastAsia" w:cstheme="minorEastAsia"/>
                <w:b/>
                <w:color w:val="auto"/>
                <w:sz w:val="21"/>
                <w:szCs w:val="21"/>
              </w:rPr>
            </w:pPr>
            <w:r>
              <w:rPr>
                <w:rFonts w:hint="default" w:ascii="宋体" w:hAnsi="宋体" w:eastAsia="宋体" w:cs="宋体"/>
                <w:color w:val="auto"/>
                <w:kern w:val="2"/>
                <w:sz w:val="21"/>
                <w:szCs w:val="21"/>
                <w:lang w:val="en-US" w:eastAsia="zh-CN" w:bidi="ar-SA"/>
              </w:rPr>
              <w:t>2.第三方验收费用的支付方式为:乙方应在甲方指定的第三方验收机构出具验收结果报告前，向该验收机构全额支付验收费用，并向甲方提交支付凭证。若乙方未按时支付验收费用导致验收工作延误的，由乙方承担相应违约责任。</w:t>
            </w:r>
          </w:p>
        </w:tc>
      </w:tr>
      <w:tr w14:paraId="2AC0A5AD">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5FBBEC2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w:t>
            </w:r>
          </w:p>
        </w:tc>
        <w:tc>
          <w:tcPr>
            <w:tcW w:w="2125" w:type="dxa"/>
            <w:tcBorders>
              <w:top w:val="single" w:color="auto" w:sz="8" w:space="0"/>
              <w:left w:val="single" w:color="auto" w:sz="8" w:space="0"/>
              <w:bottom w:val="single" w:color="auto" w:sz="8" w:space="0"/>
              <w:right w:val="single" w:color="auto" w:sz="8" w:space="0"/>
            </w:tcBorders>
            <w:vAlign w:val="center"/>
          </w:tcPr>
          <w:p w14:paraId="19828A6C">
            <w:pPr>
              <w:pStyle w:val="25"/>
              <w:spacing w:before="0" w:beforeAutospacing="0" w:after="0" w:afterAutospacing="0"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其他注意事项</w:t>
            </w:r>
          </w:p>
        </w:tc>
        <w:tc>
          <w:tcPr>
            <w:tcW w:w="7037" w:type="dxa"/>
            <w:tcBorders>
              <w:top w:val="single" w:color="auto" w:sz="8" w:space="0"/>
              <w:left w:val="single" w:color="auto" w:sz="8" w:space="0"/>
              <w:bottom w:val="single" w:color="auto" w:sz="8" w:space="0"/>
              <w:right w:val="single" w:color="auto" w:sz="18" w:space="0"/>
            </w:tcBorders>
            <w:vAlign w:val="center"/>
          </w:tcPr>
          <w:p w14:paraId="71FA954E">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参与同一个标段(包)的</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存在下列情形之一的，其投标(响应)文件无效:</w:t>
            </w:r>
          </w:p>
          <w:p w14:paraId="726F9D52">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(一)不同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的电子投标(响应)文件上传计算机的网卡MAC地址、CPU序列号和硬盘序列号等硬件信息相同的:</w:t>
            </w:r>
          </w:p>
          <w:p w14:paraId="6B9D8F77">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(二)不同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的投标(响应)文件由同一电子设备编制、打印加密或者上传</w:t>
            </w:r>
            <w:r>
              <w:rPr>
                <w:rFonts w:hint="eastAsia" w:asciiTheme="minorEastAsia" w:hAnsiTheme="minorEastAsia" w:eastAsiaTheme="minorEastAsia" w:cstheme="minorEastAsia"/>
                <w:color w:val="000000"/>
                <w:sz w:val="21"/>
                <w:szCs w:val="21"/>
                <w:lang w:eastAsia="zh-CN"/>
              </w:rPr>
              <w:t>；</w:t>
            </w:r>
          </w:p>
          <w:p w14:paraId="7752D909">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(三)不同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的投标(响应)文件由同一电子设备打印、复印</w:t>
            </w:r>
            <w:r>
              <w:rPr>
                <w:rFonts w:hint="eastAsia" w:asciiTheme="minorEastAsia" w:hAnsiTheme="minorEastAsia" w:eastAsiaTheme="minorEastAsia" w:cstheme="minorEastAsia"/>
                <w:color w:val="000000"/>
                <w:sz w:val="21"/>
                <w:szCs w:val="21"/>
                <w:lang w:eastAsia="zh-CN"/>
              </w:rPr>
              <w:t>；</w:t>
            </w:r>
          </w:p>
          <w:p w14:paraId="01A94039">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(四)不同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的投标(响应)文件由同一人送达或者分发，或者不同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联系人为同一人或不同联系人的联系电话一致的</w:t>
            </w:r>
            <w:r>
              <w:rPr>
                <w:rFonts w:hint="eastAsia" w:asciiTheme="minorEastAsia" w:hAnsiTheme="minorEastAsia" w:eastAsiaTheme="minorEastAsia" w:cstheme="minorEastAsia"/>
                <w:color w:val="000000"/>
                <w:sz w:val="21"/>
                <w:szCs w:val="21"/>
                <w:lang w:eastAsia="zh-CN"/>
              </w:rPr>
              <w:t>；</w:t>
            </w:r>
          </w:p>
          <w:p w14:paraId="02DE77BC">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(五)不同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的投标(响应)文件的内容存在两处以上细节错误一致</w:t>
            </w:r>
            <w:r>
              <w:rPr>
                <w:rFonts w:hint="eastAsia" w:asciiTheme="minorEastAsia" w:hAnsiTheme="minorEastAsia" w:eastAsiaTheme="minorEastAsia" w:cstheme="minorEastAsia"/>
                <w:color w:val="000000"/>
                <w:sz w:val="21"/>
                <w:szCs w:val="21"/>
                <w:lang w:eastAsia="zh-CN"/>
              </w:rPr>
              <w:t>；</w:t>
            </w:r>
          </w:p>
          <w:p w14:paraId="2D79CDB0">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(六)不同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的法定代表人、委托代理人、项目经理、项目负责人等由同一个单位缴纳社会保险或者领取报酬的</w:t>
            </w:r>
            <w:r>
              <w:rPr>
                <w:rFonts w:hint="eastAsia" w:asciiTheme="minorEastAsia" w:hAnsiTheme="minorEastAsia" w:eastAsiaTheme="minorEastAsia" w:cstheme="minorEastAsia"/>
                <w:color w:val="000000"/>
                <w:sz w:val="21"/>
                <w:szCs w:val="21"/>
                <w:lang w:eastAsia="zh-CN"/>
              </w:rPr>
              <w:t>；</w:t>
            </w:r>
          </w:p>
          <w:p w14:paraId="409CF7FE">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(七)不同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投标(响应)文件中法定代表人或者负责人签字出自同一人之手</w:t>
            </w:r>
            <w:r>
              <w:rPr>
                <w:rFonts w:hint="eastAsia" w:asciiTheme="minorEastAsia" w:hAnsiTheme="minorEastAsia" w:eastAsiaTheme="minorEastAsia" w:cstheme="minorEastAsia"/>
                <w:color w:val="000000"/>
                <w:sz w:val="21"/>
                <w:szCs w:val="21"/>
                <w:lang w:eastAsia="zh-CN"/>
              </w:rPr>
              <w:t>；</w:t>
            </w:r>
          </w:p>
          <w:p w14:paraId="48EB7D80">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(八)其它涉嫌串通的情形。</w:t>
            </w:r>
          </w:p>
        </w:tc>
      </w:tr>
      <w:tr w14:paraId="31697FEE">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61044E1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w:t>
            </w:r>
          </w:p>
        </w:tc>
        <w:tc>
          <w:tcPr>
            <w:tcW w:w="2125" w:type="dxa"/>
            <w:tcBorders>
              <w:top w:val="single" w:color="auto" w:sz="8" w:space="0"/>
              <w:left w:val="single" w:color="auto" w:sz="8" w:space="0"/>
              <w:bottom w:val="single" w:color="auto" w:sz="8" w:space="0"/>
              <w:right w:val="single" w:color="auto" w:sz="8" w:space="0"/>
            </w:tcBorders>
            <w:vAlign w:val="center"/>
          </w:tcPr>
          <w:p w14:paraId="2908DA3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政采领域优化营商环境相关政策</w:t>
            </w:r>
          </w:p>
        </w:tc>
        <w:tc>
          <w:tcPr>
            <w:tcW w:w="7037" w:type="dxa"/>
            <w:tcBorders>
              <w:top w:val="single" w:color="auto" w:sz="8" w:space="0"/>
              <w:left w:val="single" w:color="auto" w:sz="8" w:space="0"/>
              <w:bottom w:val="single" w:color="auto" w:sz="8" w:space="0"/>
              <w:right w:val="single" w:color="auto" w:sz="18" w:space="0"/>
            </w:tcBorders>
            <w:vAlign w:val="center"/>
          </w:tcPr>
          <w:p w14:paraId="70548D30">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一</w:t>
            </w:r>
            <w:r>
              <w:rPr>
                <w:rFonts w:hint="eastAsia" w:ascii="宋体" w:hAnsi="宋体" w:eastAsia="宋体" w:cs="宋体"/>
                <w:b/>
                <w:sz w:val="21"/>
                <w:szCs w:val="21"/>
              </w:rPr>
              <w:t>、维护企业在政府采购活动中的知情权</w:t>
            </w:r>
          </w:p>
          <w:p w14:paraId="1888F4B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采用公开招标采购方式的政府采购项目，在公告中标结果的同时，对未通过资格审查的</w:t>
            </w:r>
            <w:r>
              <w:rPr>
                <w:rFonts w:hint="eastAsia" w:ascii="宋体" w:hAnsi="宋体" w:cs="宋体"/>
                <w:sz w:val="21"/>
                <w:szCs w:val="21"/>
                <w:lang w:eastAsia="zh-CN"/>
              </w:rPr>
              <w:t>供应商</w:t>
            </w:r>
            <w:r>
              <w:rPr>
                <w:rFonts w:hint="eastAsia" w:ascii="宋体" w:hAnsi="宋体" w:eastAsia="宋体" w:cs="宋体"/>
                <w:sz w:val="21"/>
                <w:szCs w:val="21"/>
              </w:rPr>
              <w:t>，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19D62DD8">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二</w:t>
            </w:r>
            <w:r>
              <w:rPr>
                <w:rFonts w:hint="eastAsia" w:ascii="宋体" w:hAnsi="宋体" w:eastAsia="宋体" w:cs="宋体"/>
                <w:b/>
                <w:sz w:val="21"/>
                <w:szCs w:val="21"/>
              </w:rPr>
              <w:t>、提供中小企业声明函格式</w:t>
            </w:r>
          </w:p>
          <w:p w14:paraId="16D195C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已在采购文件中按照财政部、工信部印发的《政府采购促进中小企业发展管理办法》的通知精神（财库〔2020〕46号）提供中小企业声明函格式。</w:t>
            </w:r>
          </w:p>
          <w:p w14:paraId="2C61FE48">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三</w:t>
            </w:r>
            <w:r>
              <w:rPr>
                <w:rFonts w:hint="eastAsia" w:ascii="宋体" w:hAnsi="宋体" w:eastAsia="宋体" w:cs="宋体"/>
                <w:b/>
                <w:sz w:val="21"/>
                <w:szCs w:val="21"/>
              </w:rPr>
              <w:t>、推广政府采购合同融资</w:t>
            </w:r>
          </w:p>
          <w:p w14:paraId="1CF521D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“政府采购合同融资告知函”见招标文件附件，鼓励中标供应商凭借采购合同申请贷款，助力解决中小企业融资难、融资贵的问题。</w:t>
            </w:r>
          </w:p>
          <w:p w14:paraId="1E55AF73">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四</w:t>
            </w:r>
            <w:r>
              <w:rPr>
                <w:rFonts w:hint="eastAsia" w:ascii="宋体" w:hAnsi="宋体" w:eastAsia="宋体" w:cs="宋体"/>
                <w:b/>
                <w:sz w:val="21"/>
                <w:szCs w:val="21"/>
              </w:rPr>
              <w:t>、落实预留采购份额</w:t>
            </w:r>
          </w:p>
          <w:p w14:paraId="0D9B9DCF">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084FB39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超过200万元的货物和服务采购项目、超过 400 万元的工程采购项目中适宜由中小企业提供的，预留该部分采购项目预算总额的30%（或40%）以上专门面向中小企业采购,其中预留给小微企业的比例不低于 60%(中标企业如是中型企业，则该供应商按照相关规定将采购项目中的一定比例分包小微企业）。</w:t>
            </w:r>
          </w:p>
          <w:p w14:paraId="7B960161">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五</w:t>
            </w:r>
            <w:r>
              <w:rPr>
                <w:rFonts w:hint="eastAsia" w:ascii="宋体" w:hAnsi="宋体" w:eastAsia="宋体" w:cs="宋体"/>
                <w:b/>
                <w:sz w:val="21"/>
                <w:szCs w:val="21"/>
              </w:rPr>
              <w:t>、落实价格评审优惠政策</w:t>
            </w:r>
          </w:p>
          <w:p w14:paraId="51C06F2C">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（1）执行财政部、工业和信息化部关于印发《政府采购促进中小企业发展暂行办法》的通知（财库〔2020〕46号），</w:t>
            </w:r>
            <w:r>
              <w:rPr>
                <w:rFonts w:hint="eastAsia" w:asciiTheme="minorEastAsia" w:hAnsiTheme="minorEastAsia" w:eastAsiaTheme="minorEastAsia" w:cstheme="minorEastAsia"/>
                <w:b/>
                <w:color w:val="FF0000"/>
                <w:sz w:val="21"/>
                <w:szCs w:val="21"/>
              </w:rPr>
              <w:t>本项目执行价格评审优惠政策，对小型和微型企业给予20%的价格扣除，用扣除后的价格参与报价评审</w:t>
            </w:r>
            <w:r>
              <w:rPr>
                <w:rFonts w:hint="eastAsia" w:ascii="宋体" w:hAnsi="宋体" w:eastAsia="宋体" w:cs="宋体"/>
                <w:color w:val="FF0000"/>
                <w:sz w:val="21"/>
                <w:szCs w:val="21"/>
              </w:rPr>
              <w:t xml:space="preserve">。 </w:t>
            </w:r>
          </w:p>
          <w:p w14:paraId="3DE49EBB">
            <w:pPr>
              <w:spacing w:line="360" w:lineRule="auto"/>
              <w:rPr>
                <w:rFonts w:hint="eastAsia" w:ascii="宋体" w:hAnsi="宋体" w:eastAsia="宋体" w:cs="宋体"/>
                <w:sz w:val="21"/>
                <w:szCs w:val="21"/>
              </w:rPr>
            </w:pPr>
            <w:r>
              <w:rPr>
                <w:rFonts w:hint="eastAsia" w:ascii="宋体" w:hAnsi="宋体" w:eastAsia="宋体" w:cs="宋体"/>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w:t>
            </w:r>
            <w:r>
              <w:rPr>
                <w:rFonts w:hint="eastAsia" w:ascii="宋体" w:hAnsi="宋体" w:eastAsia="宋体" w:cs="宋体"/>
                <w:b/>
                <w:sz w:val="21"/>
                <w:szCs w:val="21"/>
              </w:rPr>
              <w:t>监狱企业视同小型、微型企业。</w:t>
            </w:r>
          </w:p>
          <w:p w14:paraId="3B666E60">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rPr>
            </w:pPr>
            <w:r>
              <w:rPr>
                <w:rFonts w:hint="eastAsia" w:ascii="宋体" w:hAnsi="宋体" w:eastAsia="宋体" w:cs="宋体"/>
                <w:sz w:val="21"/>
                <w:szCs w:val="21"/>
              </w:rPr>
              <w:t>（3）根据财政部、民政部、中国残疾人联合会《关于促进残疾人就业政府采购政策的通知》（财库〔2017〕141号），在政府采购活动中，</w:t>
            </w:r>
            <w:r>
              <w:rPr>
                <w:rFonts w:hint="eastAsia" w:ascii="宋体" w:hAnsi="宋体" w:eastAsia="宋体" w:cs="宋体"/>
                <w:b/>
                <w:sz w:val="21"/>
                <w:szCs w:val="21"/>
              </w:rPr>
              <w:t>残疾人福利性单位视同小型、微型企业。</w:t>
            </w:r>
            <w:r>
              <w:rPr>
                <w:rFonts w:hint="eastAsia" w:ascii="宋体" w:hAnsi="宋体" w:eastAsia="宋体" w:cs="宋体"/>
                <w:sz w:val="21"/>
                <w:szCs w:val="21"/>
                <w:lang w:eastAsia="zh-CN"/>
              </w:rPr>
              <w:t>供应商</w:t>
            </w:r>
            <w:r>
              <w:rPr>
                <w:rFonts w:hint="eastAsia" w:ascii="宋体" w:hAnsi="宋体" w:eastAsia="宋体" w:cs="宋体"/>
                <w:sz w:val="21"/>
                <w:szCs w:val="21"/>
              </w:rPr>
              <w:t>属于残疾人福利性单位的，按照招标文件格式提供《残疾人福利性单位声明函》。</w:t>
            </w:r>
          </w:p>
          <w:p w14:paraId="7A7F161B">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（4）对本国产品的支持政策 </w:t>
            </w:r>
          </w:p>
          <w:p w14:paraId="09DD9F06">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执行《国务院办公厅关于在政府采购中实施本国产品标准及相关政策的通知》（国办发〔2025〕34号）规定（详见附件8），政府采购活动中既有本国产品又有非本国产品参与竞争的，依法对本国产品给予价格评审优惠，对本国产品的报价给予20%的价格扣除，用扣除后的价格参与评审。 </w:t>
            </w:r>
          </w:p>
          <w:p w14:paraId="4E4A78E0">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D5B8FE">
            <w:pPr>
              <w:spacing w:line="360" w:lineRule="auto"/>
              <w:jc w:val="left"/>
              <w:rPr>
                <w:rFonts w:hint="eastAsia" w:asciiTheme="minorEastAsia" w:hAnsiTheme="minorEastAsia" w:eastAsiaTheme="minorEastAsia" w:cstheme="minorEastAsia"/>
                <w:b/>
                <w:sz w:val="21"/>
                <w:szCs w:val="21"/>
              </w:rPr>
            </w:pPr>
            <w:r>
              <w:rPr>
                <w:rFonts w:hint="eastAsia" w:ascii="宋体" w:hAnsi="宋体" w:eastAsia="宋体" w:cs="宋体"/>
                <w:b/>
                <w:sz w:val="21"/>
                <w:szCs w:val="21"/>
              </w:rPr>
              <w:t>说明：不符合上述适用情形的</w:t>
            </w:r>
            <w:r>
              <w:rPr>
                <w:rFonts w:hint="eastAsia" w:ascii="宋体" w:hAnsi="宋体" w:eastAsia="宋体" w:cs="宋体"/>
                <w:b/>
                <w:sz w:val="21"/>
                <w:szCs w:val="21"/>
                <w:lang w:eastAsia="zh-CN"/>
              </w:rPr>
              <w:t>供应商</w:t>
            </w:r>
            <w:r>
              <w:rPr>
                <w:rFonts w:hint="eastAsia" w:ascii="宋体" w:hAnsi="宋体" w:eastAsia="宋体" w:cs="宋体"/>
                <w:b/>
                <w:sz w:val="21"/>
                <w:szCs w:val="21"/>
              </w:rPr>
              <w:t>无须提供上述声明函件。</w:t>
            </w:r>
          </w:p>
        </w:tc>
      </w:tr>
      <w:tr w14:paraId="326E95ED">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75ABE37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33</w:t>
            </w:r>
          </w:p>
        </w:tc>
        <w:tc>
          <w:tcPr>
            <w:tcW w:w="2125" w:type="dxa"/>
            <w:tcBorders>
              <w:top w:val="single" w:color="auto" w:sz="8" w:space="0"/>
              <w:left w:val="single" w:color="auto" w:sz="8" w:space="0"/>
              <w:bottom w:val="single" w:color="auto" w:sz="8" w:space="0"/>
              <w:right w:val="single" w:color="auto" w:sz="8" w:space="0"/>
            </w:tcBorders>
            <w:vAlign w:val="center"/>
          </w:tcPr>
          <w:p w14:paraId="4D5E644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落实绿色产品（节能产品、环境标志产品）优先采购政策</w:t>
            </w:r>
          </w:p>
        </w:tc>
        <w:tc>
          <w:tcPr>
            <w:tcW w:w="7037" w:type="dxa"/>
            <w:tcBorders>
              <w:top w:val="single" w:color="auto" w:sz="8" w:space="0"/>
              <w:left w:val="single" w:color="auto" w:sz="8" w:space="0"/>
              <w:bottom w:val="single" w:color="auto" w:sz="8" w:space="0"/>
              <w:right w:val="single" w:color="auto" w:sz="18" w:space="0"/>
            </w:tcBorders>
            <w:vAlign w:val="center"/>
          </w:tcPr>
          <w:p w14:paraId="5AB9A921">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(1)本项目若含有节能产品政府采购品目清单内政府强制采购产品，</w:t>
            </w:r>
            <w:r>
              <w:rPr>
                <w:rFonts w:hint="eastAsia" w:ascii="宋体" w:hAnsi="宋体" w:cs="宋体"/>
                <w:b/>
                <w:color w:val="auto"/>
                <w:sz w:val="21"/>
                <w:szCs w:val="21"/>
                <w:highlight w:val="none"/>
                <w:lang w:val="en-US" w:eastAsia="zh-CN"/>
              </w:rPr>
              <w:t>供应商</w:t>
            </w:r>
            <w:r>
              <w:rPr>
                <w:rFonts w:hint="eastAsia" w:ascii="宋体" w:hAnsi="宋体" w:eastAsia="宋体" w:cs="宋体"/>
                <w:b/>
                <w:color w:val="auto"/>
                <w:sz w:val="21"/>
                <w:szCs w:val="21"/>
                <w:highlight w:val="none"/>
              </w:rPr>
              <w:t>须选用国家确定的认证机构认证的处于有效期之内的政府强制采购节能产品。</w:t>
            </w:r>
          </w:p>
          <w:p w14:paraId="1EA30D52">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本项目若含有节能产品、环境标志产品政府采购品目清单内政府优先采购产品，对选用国家确定的认证机构认证的处于有效期之内的政府优先采购节能产品(政府强制采购产品除外)、环境标志产品的，在评标时予以优先采购。</w:t>
            </w:r>
          </w:p>
          <w:p w14:paraId="64484AAA">
            <w:pPr>
              <w:spacing w:line="360" w:lineRule="auto"/>
              <w:jc w:val="left"/>
              <w:rPr>
                <w:rFonts w:hint="eastAsia" w:asciiTheme="minorEastAsia" w:hAnsiTheme="minorEastAsia" w:eastAsiaTheme="minorEastAsia" w:cstheme="minorEastAsia"/>
                <w:color w:val="auto"/>
                <w:sz w:val="21"/>
                <w:szCs w:val="21"/>
              </w:rPr>
            </w:pPr>
            <w:r>
              <w:rPr>
                <w:rFonts w:hint="eastAsia" w:ascii="宋体" w:hAnsi="宋体" w:eastAsia="宋体" w:cs="宋体"/>
                <w:b/>
                <w:color w:val="auto"/>
                <w:sz w:val="21"/>
                <w:szCs w:val="21"/>
                <w:highlight w:val="none"/>
              </w:rPr>
              <w:t>(</w:t>
            </w:r>
            <w:r>
              <w:rPr>
                <w:rFonts w:hint="eastAsia" w:ascii="宋体" w:hAnsi="宋体" w:cs="宋体"/>
                <w:b/>
                <w:color w:val="auto"/>
                <w:sz w:val="21"/>
                <w:szCs w:val="21"/>
                <w:highlight w:val="none"/>
                <w:lang w:val="en-US" w:eastAsia="zh-CN"/>
              </w:rPr>
              <w:t>3</w:t>
            </w:r>
            <w:r>
              <w:rPr>
                <w:rFonts w:hint="eastAsia" w:ascii="宋体" w:hAnsi="宋体" w:eastAsia="宋体" w:cs="宋体"/>
                <w:b/>
                <w:color w:val="auto"/>
                <w:sz w:val="21"/>
                <w:szCs w:val="21"/>
                <w:highlight w:val="none"/>
              </w:rPr>
              <w:t>)强制采购的节能产品: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tc>
      </w:tr>
      <w:tr w14:paraId="110CE4A2">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022A6CD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w:t>
            </w:r>
          </w:p>
        </w:tc>
        <w:tc>
          <w:tcPr>
            <w:tcW w:w="2125" w:type="dxa"/>
            <w:tcBorders>
              <w:top w:val="single" w:color="auto" w:sz="8" w:space="0"/>
              <w:left w:val="single" w:color="auto" w:sz="8" w:space="0"/>
              <w:bottom w:val="single" w:color="auto" w:sz="8" w:space="0"/>
              <w:right w:val="single" w:color="auto" w:sz="8" w:space="0"/>
            </w:tcBorders>
            <w:vAlign w:val="center"/>
          </w:tcPr>
          <w:p w14:paraId="1CA6540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w:t>
            </w:r>
          </w:p>
        </w:tc>
        <w:tc>
          <w:tcPr>
            <w:tcW w:w="7037" w:type="dxa"/>
            <w:tcBorders>
              <w:top w:val="single" w:color="auto" w:sz="8" w:space="0"/>
              <w:left w:val="single" w:color="auto" w:sz="8" w:space="0"/>
              <w:bottom w:val="single" w:color="auto" w:sz="8" w:space="0"/>
              <w:right w:val="single" w:color="auto" w:sz="18" w:space="0"/>
            </w:tcBorders>
            <w:vAlign w:val="center"/>
          </w:tcPr>
          <w:p w14:paraId="6180BB3D">
            <w:pPr>
              <w:pStyle w:val="28"/>
              <w:spacing w:line="360" w:lineRule="auto"/>
              <w:ind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各供应商可通过《河南省政府采购网》《平顶山市政府采购网》《平顶山市湛河区政府采购网》《全国公共资源交易平台（河南省·平顶山市）》《河南省公共资源交易公共服务平台》自行查看中标（成交）公告及相关附件，同时代理公司将会以短信、电话或邮箱的方式通知相关未中标（成交）供应商。</w:t>
            </w:r>
          </w:p>
        </w:tc>
      </w:tr>
      <w:tr w14:paraId="5BEE0D4C">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694B5DE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w:t>
            </w:r>
          </w:p>
        </w:tc>
        <w:tc>
          <w:tcPr>
            <w:tcW w:w="2125" w:type="dxa"/>
            <w:tcBorders>
              <w:top w:val="single" w:color="auto" w:sz="8" w:space="0"/>
              <w:left w:val="single" w:color="auto" w:sz="8" w:space="0"/>
              <w:bottom w:val="single" w:color="auto" w:sz="8" w:space="0"/>
              <w:right w:val="single" w:color="auto" w:sz="8" w:space="0"/>
            </w:tcBorders>
            <w:vAlign w:val="center"/>
          </w:tcPr>
          <w:p w14:paraId="33D9547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履约保证金</w:t>
            </w:r>
          </w:p>
        </w:tc>
        <w:tc>
          <w:tcPr>
            <w:tcW w:w="7037" w:type="dxa"/>
            <w:tcBorders>
              <w:top w:val="single" w:color="auto" w:sz="8" w:space="0"/>
              <w:left w:val="single" w:color="auto" w:sz="8" w:space="0"/>
              <w:bottom w:val="single" w:color="auto" w:sz="8" w:space="0"/>
              <w:right w:val="single" w:color="auto" w:sz="18" w:space="0"/>
            </w:tcBorders>
            <w:vAlign w:val="center"/>
          </w:tcPr>
          <w:p w14:paraId="7EDABCB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根据河南省财政厅关于优化政府采购营商环境有关问题的通知（豫财购【2019】4号文），落实其文件精神，降低供应商参与政府采购活动交易成本，本项目不收取履约保证金。</w:t>
            </w:r>
          </w:p>
        </w:tc>
      </w:tr>
      <w:tr w14:paraId="3D08FC64">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4E76992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w:t>
            </w:r>
          </w:p>
        </w:tc>
        <w:tc>
          <w:tcPr>
            <w:tcW w:w="2125" w:type="dxa"/>
            <w:tcBorders>
              <w:top w:val="single" w:color="auto" w:sz="8" w:space="0"/>
              <w:left w:val="single" w:color="auto" w:sz="8" w:space="0"/>
              <w:bottom w:val="single" w:color="auto" w:sz="8" w:space="0"/>
              <w:right w:val="single" w:color="auto" w:sz="8" w:space="0"/>
            </w:tcBorders>
            <w:vAlign w:val="center"/>
          </w:tcPr>
          <w:p w14:paraId="5F652D12">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文件费</w:t>
            </w:r>
          </w:p>
        </w:tc>
        <w:tc>
          <w:tcPr>
            <w:tcW w:w="7037" w:type="dxa"/>
            <w:tcBorders>
              <w:top w:val="single" w:color="auto" w:sz="8" w:space="0"/>
              <w:left w:val="single" w:color="auto" w:sz="8" w:space="0"/>
              <w:bottom w:val="single" w:color="auto" w:sz="8" w:space="0"/>
              <w:right w:val="single" w:color="auto" w:sz="18" w:space="0"/>
            </w:tcBorders>
            <w:vAlign w:val="center"/>
          </w:tcPr>
          <w:p w14:paraId="2F7A8C4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4014C191">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6C3A6E8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37</w:t>
            </w:r>
          </w:p>
        </w:tc>
        <w:tc>
          <w:tcPr>
            <w:tcW w:w="2125" w:type="dxa"/>
            <w:tcBorders>
              <w:top w:val="single" w:color="auto" w:sz="8" w:space="0"/>
              <w:left w:val="single" w:color="auto" w:sz="8" w:space="0"/>
              <w:bottom w:val="single" w:color="auto" w:sz="8" w:space="0"/>
              <w:right w:val="single" w:color="auto" w:sz="8" w:space="0"/>
            </w:tcBorders>
            <w:vAlign w:val="center"/>
          </w:tcPr>
          <w:p w14:paraId="208D6ACD">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保证金</w:t>
            </w:r>
          </w:p>
        </w:tc>
        <w:tc>
          <w:tcPr>
            <w:tcW w:w="7037" w:type="dxa"/>
            <w:tcBorders>
              <w:top w:val="single" w:color="auto" w:sz="8" w:space="0"/>
              <w:left w:val="single" w:color="auto" w:sz="8" w:space="0"/>
              <w:bottom w:val="single" w:color="auto" w:sz="8" w:space="0"/>
              <w:right w:val="single" w:color="auto" w:sz="18" w:space="0"/>
            </w:tcBorders>
            <w:vAlign w:val="center"/>
          </w:tcPr>
          <w:p w14:paraId="6AFF0A4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不收取</w:t>
            </w:r>
          </w:p>
        </w:tc>
      </w:tr>
      <w:tr w14:paraId="16C1A3D7">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14464E6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38</w:t>
            </w:r>
          </w:p>
        </w:tc>
        <w:tc>
          <w:tcPr>
            <w:tcW w:w="2125" w:type="dxa"/>
            <w:tcBorders>
              <w:top w:val="single" w:color="auto" w:sz="8" w:space="0"/>
              <w:left w:val="single" w:color="auto" w:sz="8" w:space="0"/>
              <w:bottom w:val="single" w:color="auto" w:sz="8" w:space="0"/>
              <w:right w:val="single" w:color="auto" w:sz="8" w:space="0"/>
            </w:tcBorders>
            <w:vAlign w:val="center"/>
          </w:tcPr>
          <w:p w14:paraId="5240EFE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质保金</w:t>
            </w:r>
          </w:p>
        </w:tc>
        <w:tc>
          <w:tcPr>
            <w:tcW w:w="7037" w:type="dxa"/>
            <w:tcBorders>
              <w:top w:val="single" w:color="auto" w:sz="8" w:space="0"/>
              <w:left w:val="single" w:color="auto" w:sz="8" w:space="0"/>
              <w:bottom w:val="single" w:color="auto" w:sz="8" w:space="0"/>
              <w:right w:val="single" w:color="auto" w:sz="18" w:space="0"/>
            </w:tcBorders>
            <w:vAlign w:val="center"/>
          </w:tcPr>
          <w:p w14:paraId="61AC21D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不收取</w:t>
            </w:r>
          </w:p>
        </w:tc>
      </w:tr>
      <w:tr w14:paraId="0E06F39F">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5EE4BDB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39</w:t>
            </w:r>
          </w:p>
        </w:tc>
        <w:tc>
          <w:tcPr>
            <w:tcW w:w="2125" w:type="dxa"/>
            <w:tcBorders>
              <w:top w:val="single" w:color="auto" w:sz="8" w:space="0"/>
              <w:left w:val="single" w:color="auto" w:sz="8" w:space="0"/>
              <w:bottom w:val="single" w:color="auto" w:sz="8" w:space="0"/>
              <w:right w:val="single" w:color="auto" w:sz="8" w:space="0"/>
            </w:tcBorders>
            <w:vAlign w:val="center"/>
          </w:tcPr>
          <w:p w14:paraId="1DD45C3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本项目所属行业</w:t>
            </w:r>
          </w:p>
        </w:tc>
        <w:tc>
          <w:tcPr>
            <w:tcW w:w="7037" w:type="dxa"/>
            <w:tcBorders>
              <w:top w:val="single" w:color="auto" w:sz="8" w:space="0"/>
              <w:left w:val="single" w:color="auto" w:sz="8" w:space="0"/>
              <w:bottom w:val="single" w:color="auto" w:sz="8" w:space="0"/>
              <w:right w:val="single" w:color="auto" w:sz="18" w:space="0"/>
            </w:tcBorders>
            <w:vAlign w:val="center"/>
          </w:tcPr>
          <w:p w14:paraId="2B455DF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本项目所属行业为工业（制造业）</w:t>
            </w:r>
          </w:p>
        </w:tc>
      </w:tr>
      <w:tr w14:paraId="718215EF">
        <w:tblPrEx>
          <w:tblCellMar>
            <w:top w:w="0" w:type="dxa"/>
            <w:left w:w="0" w:type="dxa"/>
            <w:bottom w:w="0" w:type="dxa"/>
            <w:right w:w="0" w:type="dxa"/>
          </w:tblCellMar>
        </w:tblPrEx>
        <w:trPr>
          <w:trHeight w:val="567" w:hRule="atLeast"/>
          <w:jc w:val="center"/>
        </w:trPr>
        <w:tc>
          <w:tcPr>
            <w:tcW w:w="637" w:type="dxa"/>
            <w:tcBorders>
              <w:top w:val="single" w:color="auto" w:sz="8" w:space="0"/>
              <w:left w:val="single" w:color="auto" w:sz="18" w:space="0"/>
              <w:bottom w:val="single" w:color="auto" w:sz="8" w:space="0"/>
              <w:right w:val="single" w:color="auto" w:sz="8" w:space="0"/>
            </w:tcBorders>
            <w:vAlign w:val="center"/>
          </w:tcPr>
          <w:p w14:paraId="63C5B18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40</w:t>
            </w:r>
          </w:p>
        </w:tc>
        <w:tc>
          <w:tcPr>
            <w:tcW w:w="2125" w:type="dxa"/>
            <w:tcBorders>
              <w:top w:val="single" w:color="auto" w:sz="8" w:space="0"/>
              <w:left w:val="single" w:color="auto" w:sz="8" w:space="0"/>
              <w:bottom w:val="single" w:color="auto" w:sz="8" w:space="0"/>
              <w:right w:val="single" w:color="auto" w:sz="8" w:space="0"/>
            </w:tcBorders>
            <w:vAlign w:val="center"/>
          </w:tcPr>
          <w:p w14:paraId="1730B3F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四方评价</w:t>
            </w:r>
          </w:p>
        </w:tc>
        <w:tc>
          <w:tcPr>
            <w:tcW w:w="7037" w:type="dxa"/>
            <w:tcBorders>
              <w:top w:val="single" w:color="auto" w:sz="8" w:space="0"/>
              <w:left w:val="single" w:color="auto" w:sz="8" w:space="0"/>
              <w:bottom w:val="single" w:color="auto" w:sz="8" w:space="0"/>
              <w:right w:val="single" w:color="auto" w:sz="18" w:space="0"/>
            </w:tcBorders>
            <w:vAlign w:val="center"/>
          </w:tcPr>
          <w:p w14:paraId="322E0E7B">
            <w:pPr>
              <w:spacing w:line="360" w:lineRule="auto"/>
              <w:jc w:val="left"/>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 xml:space="preserve">   </w:t>
            </w:r>
            <w:r>
              <w:rPr>
                <w:rFonts w:hint="eastAsia" w:asciiTheme="minorEastAsia" w:hAnsiTheme="minorEastAsia" w:eastAsiaTheme="minorEastAsia" w:cstheme="minorEastAsia"/>
                <w:bCs/>
                <w:color w:val="auto"/>
                <w:sz w:val="21"/>
                <w:szCs w:val="21"/>
              </w:rPr>
              <w:t>根据《平顶山市财政局关于实行政府采购项目四方评价的通知》要求，自2023年起，我市所有政府采购项目实行信用评价。采购人、采购代理机构、评审专家、供应商在“评标结束”、“履约验收”后通过平顶山市政府采购网-评价管理-信用评价模块进行评价，供应商应在合同备案前注册政府采购网账号。</w:t>
            </w:r>
          </w:p>
          <w:p w14:paraId="1290B8A8">
            <w:pPr>
              <w:spacing w:line="360" w:lineRule="auto"/>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各相关单位及个人须按照下表时间节点，及时在政府采购网上进行评价：</w:t>
            </w:r>
          </w:p>
          <w:tbl>
            <w:tblPr>
              <w:tblStyle w:val="30"/>
              <w:tblW w:w="66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701"/>
              <w:gridCol w:w="1418"/>
              <w:gridCol w:w="2131"/>
            </w:tblGrid>
            <w:tr w14:paraId="0C46E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667" w:type="dxa"/>
                  <w:gridSpan w:val="4"/>
                  <w:noWrap/>
                  <w:vAlign w:val="center"/>
                </w:tcPr>
                <w:p w14:paraId="656102A0">
                  <w:pPr>
                    <w:widowControl/>
                    <w:spacing w:line="360" w:lineRule="auto"/>
                    <w:jc w:val="center"/>
                    <w:rPr>
                      <w:rFonts w:hint="eastAsia" w:asciiTheme="minorEastAsia" w:hAnsiTheme="minorEastAsia" w:eastAsiaTheme="minorEastAsia" w:cstheme="minorEastAsia"/>
                      <w:b/>
                      <w:bCs/>
                      <w:color w:val="auto"/>
                      <w:kern w:val="0"/>
                      <w:sz w:val="21"/>
                      <w:szCs w:val="21"/>
                    </w:rPr>
                  </w:pPr>
                  <w:r>
                    <w:rPr>
                      <w:rFonts w:hint="eastAsia" w:asciiTheme="minorEastAsia" w:hAnsiTheme="minorEastAsia" w:eastAsiaTheme="minorEastAsia" w:cstheme="minorEastAsia"/>
                      <w:b/>
                      <w:bCs/>
                      <w:color w:val="auto"/>
                      <w:kern w:val="0"/>
                      <w:sz w:val="21"/>
                      <w:szCs w:val="21"/>
                    </w:rPr>
                    <w:t>四方评价时间节点</w:t>
                  </w:r>
                </w:p>
              </w:tc>
            </w:tr>
            <w:tr w14:paraId="10064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797F493B">
                  <w:pPr>
                    <w:widowControl/>
                    <w:spacing w:line="360" w:lineRule="auto"/>
                    <w:jc w:val="center"/>
                    <w:rPr>
                      <w:rFonts w:hint="eastAsia" w:asciiTheme="minorEastAsia" w:hAnsiTheme="minorEastAsia" w:eastAsiaTheme="minorEastAsia" w:cstheme="minorEastAsia"/>
                      <w:b/>
                      <w:bCs/>
                      <w:color w:val="auto"/>
                      <w:kern w:val="0"/>
                      <w:sz w:val="21"/>
                      <w:szCs w:val="21"/>
                    </w:rPr>
                  </w:pPr>
                  <w:r>
                    <w:rPr>
                      <w:rFonts w:hint="eastAsia" w:asciiTheme="minorEastAsia" w:hAnsiTheme="minorEastAsia" w:eastAsiaTheme="minorEastAsia" w:cstheme="minorEastAsia"/>
                      <w:b/>
                      <w:bCs/>
                      <w:color w:val="auto"/>
                      <w:kern w:val="0"/>
                      <w:sz w:val="21"/>
                      <w:szCs w:val="21"/>
                    </w:rPr>
                    <w:t>评价主体</w:t>
                  </w:r>
                </w:p>
              </w:tc>
              <w:tc>
                <w:tcPr>
                  <w:tcW w:w="1701" w:type="dxa"/>
                  <w:noWrap/>
                  <w:vAlign w:val="center"/>
                </w:tcPr>
                <w:p w14:paraId="74E19728">
                  <w:pPr>
                    <w:widowControl/>
                    <w:spacing w:line="360" w:lineRule="auto"/>
                    <w:jc w:val="center"/>
                    <w:rPr>
                      <w:rFonts w:hint="eastAsia" w:asciiTheme="minorEastAsia" w:hAnsiTheme="minorEastAsia" w:eastAsiaTheme="minorEastAsia" w:cstheme="minorEastAsia"/>
                      <w:b/>
                      <w:bCs/>
                      <w:color w:val="auto"/>
                      <w:kern w:val="0"/>
                      <w:sz w:val="21"/>
                      <w:szCs w:val="21"/>
                    </w:rPr>
                  </w:pPr>
                  <w:r>
                    <w:rPr>
                      <w:rFonts w:hint="eastAsia" w:asciiTheme="minorEastAsia" w:hAnsiTheme="minorEastAsia" w:eastAsiaTheme="minorEastAsia" w:cstheme="minorEastAsia"/>
                      <w:b/>
                      <w:bCs/>
                      <w:color w:val="auto"/>
                      <w:kern w:val="0"/>
                      <w:sz w:val="21"/>
                      <w:szCs w:val="21"/>
                    </w:rPr>
                    <w:t>被评价主体</w:t>
                  </w:r>
                </w:p>
              </w:tc>
              <w:tc>
                <w:tcPr>
                  <w:tcW w:w="1418" w:type="dxa"/>
                  <w:noWrap/>
                  <w:vAlign w:val="center"/>
                </w:tcPr>
                <w:p w14:paraId="50FF6BCD">
                  <w:pPr>
                    <w:widowControl/>
                    <w:spacing w:line="360" w:lineRule="auto"/>
                    <w:jc w:val="center"/>
                    <w:rPr>
                      <w:rFonts w:hint="eastAsia" w:asciiTheme="minorEastAsia" w:hAnsiTheme="minorEastAsia" w:eastAsiaTheme="minorEastAsia" w:cstheme="minorEastAsia"/>
                      <w:b/>
                      <w:bCs/>
                      <w:color w:val="auto"/>
                      <w:kern w:val="0"/>
                      <w:sz w:val="21"/>
                      <w:szCs w:val="21"/>
                    </w:rPr>
                  </w:pPr>
                  <w:r>
                    <w:rPr>
                      <w:rFonts w:hint="eastAsia" w:asciiTheme="minorEastAsia" w:hAnsiTheme="minorEastAsia" w:eastAsiaTheme="minorEastAsia" w:cstheme="minorEastAsia"/>
                      <w:b/>
                      <w:bCs/>
                      <w:color w:val="auto"/>
                      <w:kern w:val="0"/>
                      <w:sz w:val="21"/>
                      <w:szCs w:val="21"/>
                    </w:rPr>
                    <w:t>评价环节</w:t>
                  </w:r>
                </w:p>
              </w:tc>
              <w:tc>
                <w:tcPr>
                  <w:tcW w:w="2131" w:type="dxa"/>
                  <w:noWrap/>
                  <w:vAlign w:val="center"/>
                </w:tcPr>
                <w:p w14:paraId="23000058">
                  <w:pPr>
                    <w:widowControl/>
                    <w:spacing w:line="360" w:lineRule="auto"/>
                    <w:jc w:val="center"/>
                    <w:rPr>
                      <w:rFonts w:hint="eastAsia" w:asciiTheme="minorEastAsia" w:hAnsiTheme="minorEastAsia" w:eastAsiaTheme="minorEastAsia" w:cstheme="minorEastAsia"/>
                      <w:b/>
                      <w:bCs/>
                      <w:color w:val="auto"/>
                      <w:kern w:val="0"/>
                      <w:sz w:val="21"/>
                      <w:szCs w:val="21"/>
                    </w:rPr>
                  </w:pPr>
                  <w:r>
                    <w:rPr>
                      <w:rFonts w:hint="eastAsia" w:asciiTheme="minorEastAsia" w:hAnsiTheme="minorEastAsia" w:eastAsiaTheme="minorEastAsia" w:cstheme="minorEastAsia"/>
                      <w:b/>
                      <w:bCs/>
                      <w:color w:val="auto"/>
                      <w:kern w:val="0"/>
                      <w:sz w:val="21"/>
                      <w:szCs w:val="21"/>
                    </w:rPr>
                    <w:t>评价节点</w:t>
                  </w:r>
                </w:p>
              </w:tc>
            </w:tr>
            <w:tr w14:paraId="7EC5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restart"/>
                  <w:noWrap/>
                  <w:vAlign w:val="center"/>
                </w:tcPr>
                <w:p w14:paraId="31569004">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采购人</w:t>
                  </w:r>
                </w:p>
              </w:tc>
              <w:tc>
                <w:tcPr>
                  <w:tcW w:w="1701" w:type="dxa"/>
                  <w:noWrap/>
                  <w:vAlign w:val="center"/>
                </w:tcPr>
                <w:p w14:paraId="22EE1500">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供应商</w:t>
                  </w:r>
                </w:p>
              </w:tc>
              <w:tc>
                <w:tcPr>
                  <w:tcW w:w="1418" w:type="dxa"/>
                  <w:noWrap/>
                  <w:vAlign w:val="center"/>
                </w:tcPr>
                <w:p w14:paraId="4590ECB2">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履约验收</w:t>
                  </w:r>
                </w:p>
              </w:tc>
              <w:tc>
                <w:tcPr>
                  <w:tcW w:w="2131" w:type="dxa"/>
                  <w:noWrap/>
                  <w:vAlign w:val="center"/>
                </w:tcPr>
                <w:p w14:paraId="5E66058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39245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4F41A266">
                  <w:pPr>
                    <w:widowControl/>
                    <w:spacing w:line="360" w:lineRule="auto"/>
                    <w:jc w:val="left"/>
                    <w:rPr>
                      <w:rFonts w:hint="eastAsia" w:asciiTheme="minorEastAsia" w:hAnsiTheme="minorEastAsia" w:eastAsiaTheme="minorEastAsia" w:cstheme="minorEastAsia"/>
                      <w:color w:val="auto"/>
                      <w:kern w:val="0"/>
                      <w:sz w:val="21"/>
                      <w:szCs w:val="21"/>
                    </w:rPr>
                  </w:pPr>
                </w:p>
              </w:tc>
              <w:tc>
                <w:tcPr>
                  <w:tcW w:w="1701" w:type="dxa"/>
                  <w:noWrap/>
                  <w:vAlign w:val="center"/>
                </w:tcPr>
                <w:p w14:paraId="6A298F1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评审专家</w:t>
                  </w:r>
                </w:p>
              </w:tc>
              <w:tc>
                <w:tcPr>
                  <w:tcW w:w="1418" w:type="dxa"/>
                  <w:noWrap/>
                  <w:vAlign w:val="center"/>
                </w:tcPr>
                <w:p w14:paraId="48507411">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评标结束</w:t>
                  </w:r>
                </w:p>
              </w:tc>
              <w:tc>
                <w:tcPr>
                  <w:tcW w:w="2131" w:type="dxa"/>
                  <w:noWrap/>
                  <w:vAlign w:val="center"/>
                </w:tcPr>
                <w:p w14:paraId="429B2D80">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77F2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26EBD7E0">
                  <w:pPr>
                    <w:widowControl/>
                    <w:spacing w:line="360" w:lineRule="auto"/>
                    <w:jc w:val="left"/>
                    <w:rPr>
                      <w:rFonts w:hint="eastAsia" w:asciiTheme="minorEastAsia" w:hAnsiTheme="minorEastAsia" w:eastAsiaTheme="minorEastAsia" w:cstheme="minorEastAsia"/>
                      <w:color w:val="auto"/>
                      <w:kern w:val="0"/>
                      <w:sz w:val="21"/>
                      <w:szCs w:val="21"/>
                    </w:rPr>
                  </w:pPr>
                </w:p>
              </w:tc>
              <w:tc>
                <w:tcPr>
                  <w:tcW w:w="1701" w:type="dxa"/>
                  <w:noWrap/>
                  <w:vAlign w:val="center"/>
                </w:tcPr>
                <w:p w14:paraId="31A2F76E">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代理机构</w:t>
                  </w:r>
                </w:p>
              </w:tc>
              <w:tc>
                <w:tcPr>
                  <w:tcW w:w="1418" w:type="dxa"/>
                  <w:noWrap/>
                  <w:vAlign w:val="center"/>
                </w:tcPr>
                <w:p w14:paraId="2BBEE631">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评标结束</w:t>
                  </w:r>
                </w:p>
              </w:tc>
              <w:tc>
                <w:tcPr>
                  <w:tcW w:w="2131" w:type="dxa"/>
                  <w:noWrap/>
                  <w:vAlign w:val="center"/>
                </w:tcPr>
                <w:p w14:paraId="790CDEBE">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37A8A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restart"/>
                  <w:noWrap/>
                  <w:vAlign w:val="center"/>
                </w:tcPr>
                <w:p w14:paraId="18F46482">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供应商</w:t>
                  </w:r>
                </w:p>
              </w:tc>
              <w:tc>
                <w:tcPr>
                  <w:tcW w:w="1701" w:type="dxa"/>
                  <w:noWrap/>
                  <w:vAlign w:val="center"/>
                </w:tcPr>
                <w:p w14:paraId="0662C808">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采购人</w:t>
                  </w:r>
                </w:p>
              </w:tc>
              <w:tc>
                <w:tcPr>
                  <w:tcW w:w="1418" w:type="dxa"/>
                  <w:noWrap/>
                  <w:vAlign w:val="center"/>
                </w:tcPr>
                <w:p w14:paraId="021C74E5">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履约验收</w:t>
                  </w:r>
                </w:p>
              </w:tc>
              <w:tc>
                <w:tcPr>
                  <w:tcW w:w="2131" w:type="dxa"/>
                  <w:noWrap/>
                  <w:vAlign w:val="center"/>
                </w:tcPr>
                <w:p w14:paraId="21636962">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168D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12D4F305">
                  <w:pPr>
                    <w:widowControl/>
                    <w:spacing w:line="360" w:lineRule="auto"/>
                    <w:jc w:val="left"/>
                    <w:rPr>
                      <w:rFonts w:hint="eastAsia" w:asciiTheme="minorEastAsia" w:hAnsiTheme="minorEastAsia" w:eastAsiaTheme="minorEastAsia" w:cstheme="minorEastAsia"/>
                      <w:color w:val="auto"/>
                      <w:kern w:val="0"/>
                      <w:sz w:val="21"/>
                      <w:szCs w:val="21"/>
                    </w:rPr>
                  </w:pPr>
                </w:p>
              </w:tc>
              <w:tc>
                <w:tcPr>
                  <w:tcW w:w="1701" w:type="dxa"/>
                  <w:noWrap/>
                  <w:vAlign w:val="center"/>
                </w:tcPr>
                <w:p w14:paraId="1F3732B3">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代理机构</w:t>
                  </w:r>
                </w:p>
              </w:tc>
              <w:tc>
                <w:tcPr>
                  <w:tcW w:w="1418" w:type="dxa"/>
                  <w:noWrap/>
                  <w:vAlign w:val="center"/>
                </w:tcPr>
                <w:p w14:paraId="429BFB26">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履约验收</w:t>
                  </w:r>
                </w:p>
              </w:tc>
              <w:tc>
                <w:tcPr>
                  <w:tcW w:w="2131" w:type="dxa"/>
                  <w:noWrap/>
                  <w:vAlign w:val="center"/>
                </w:tcPr>
                <w:p w14:paraId="6BB3B1B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3F1C0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2185483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代理机构</w:t>
                  </w:r>
                </w:p>
              </w:tc>
              <w:tc>
                <w:tcPr>
                  <w:tcW w:w="1701" w:type="dxa"/>
                  <w:noWrap/>
                  <w:vAlign w:val="center"/>
                </w:tcPr>
                <w:p w14:paraId="765D5F6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评审专家</w:t>
                  </w:r>
                </w:p>
              </w:tc>
              <w:tc>
                <w:tcPr>
                  <w:tcW w:w="1418" w:type="dxa"/>
                  <w:noWrap/>
                  <w:vAlign w:val="center"/>
                </w:tcPr>
                <w:p w14:paraId="253A5758">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评标结束</w:t>
                  </w:r>
                </w:p>
              </w:tc>
              <w:tc>
                <w:tcPr>
                  <w:tcW w:w="2131" w:type="dxa"/>
                  <w:noWrap/>
                  <w:vAlign w:val="center"/>
                </w:tcPr>
                <w:p w14:paraId="1BD40576">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5D29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72EE8AF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评审专家</w:t>
                  </w:r>
                </w:p>
              </w:tc>
              <w:tc>
                <w:tcPr>
                  <w:tcW w:w="1701" w:type="dxa"/>
                  <w:noWrap/>
                  <w:vAlign w:val="center"/>
                </w:tcPr>
                <w:p w14:paraId="019D8BE1">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代理机构</w:t>
                  </w:r>
                </w:p>
              </w:tc>
              <w:tc>
                <w:tcPr>
                  <w:tcW w:w="1418" w:type="dxa"/>
                  <w:noWrap/>
                  <w:vAlign w:val="center"/>
                </w:tcPr>
                <w:p w14:paraId="760EF946">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评标结束</w:t>
                  </w:r>
                </w:p>
              </w:tc>
              <w:tc>
                <w:tcPr>
                  <w:tcW w:w="2131" w:type="dxa"/>
                  <w:noWrap/>
                  <w:vAlign w:val="center"/>
                </w:tcPr>
                <w:p w14:paraId="350187DB">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bl>
          <w:p w14:paraId="42C2F755">
            <w:pPr>
              <w:spacing w:line="360" w:lineRule="auto"/>
              <w:jc w:val="center"/>
              <w:rPr>
                <w:rFonts w:hint="eastAsia" w:asciiTheme="minorEastAsia" w:hAnsiTheme="minorEastAsia" w:eastAsiaTheme="minorEastAsia" w:cstheme="minorEastAsia"/>
                <w:color w:val="auto"/>
                <w:sz w:val="21"/>
                <w:szCs w:val="21"/>
              </w:rPr>
            </w:pPr>
          </w:p>
        </w:tc>
      </w:tr>
    </w:tbl>
    <w:p w14:paraId="4ABF161A">
      <w:pPr>
        <w:rPr>
          <w:rFonts w:ascii="宋体" w:hAnsi="宋体" w:cs="宋体"/>
        </w:rPr>
      </w:pPr>
    </w:p>
    <w:p w14:paraId="548F65B4">
      <w:pPr>
        <w:rPr>
          <w:rFonts w:ascii="宋体" w:hAnsi="宋体" w:cs="宋体"/>
        </w:rPr>
      </w:pPr>
      <w:r>
        <w:rPr>
          <w:rFonts w:hint="eastAsia" w:ascii="宋体" w:hAnsi="宋体" w:cs="宋体"/>
        </w:rPr>
        <w:br w:type="page"/>
      </w:r>
    </w:p>
    <w:p w14:paraId="27DE76ED">
      <w:pPr>
        <w:pStyle w:val="4"/>
        <w:spacing w:line="380" w:lineRule="exact"/>
        <w:ind w:firstLine="422"/>
        <w:jc w:val="center"/>
        <w:rPr>
          <w:rFonts w:ascii="宋体" w:hAnsi="宋体" w:cs="宋体"/>
          <w:sz w:val="21"/>
          <w:szCs w:val="21"/>
        </w:rPr>
      </w:pPr>
      <w:bookmarkStart w:id="104" w:name="_Toc8424"/>
      <w:bookmarkStart w:id="105" w:name="_Toc17769"/>
      <w:r>
        <w:rPr>
          <w:rFonts w:hint="eastAsia" w:ascii="宋体" w:hAnsi="宋体" w:cs="宋体"/>
          <w:sz w:val="21"/>
          <w:szCs w:val="21"/>
          <w:lang w:val="zh-CN"/>
        </w:rPr>
        <w:t>一、说明</w:t>
      </w:r>
      <w:bookmarkEnd w:id="6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07DEDA39">
      <w:pPr>
        <w:spacing w:line="360" w:lineRule="auto"/>
        <w:outlineLvl w:val="2"/>
        <w:rPr>
          <w:rFonts w:ascii="宋体" w:hAnsi="宋体" w:cs="宋体"/>
          <w:b/>
          <w:bCs/>
          <w:sz w:val="21"/>
          <w:szCs w:val="21"/>
          <w:lang w:val="zh-CN"/>
        </w:rPr>
      </w:pPr>
      <w:bookmarkStart w:id="106" w:name="_Toc4447"/>
      <w:bookmarkStart w:id="107" w:name="_Toc3417"/>
      <w:bookmarkStart w:id="108" w:name="_Toc1139"/>
      <w:bookmarkStart w:id="109" w:name="_Toc10740"/>
      <w:bookmarkStart w:id="110" w:name="_Toc8376"/>
      <w:bookmarkStart w:id="111" w:name="_Toc11323"/>
      <w:bookmarkStart w:id="112" w:name="_Toc24335"/>
      <w:bookmarkStart w:id="113" w:name="_Toc20574"/>
      <w:bookmarkStart w:id="114" w:name="_Toc18908_WPSOffice_Level3"/>
      <w:bookmarkStart w:id="115" w:name="_Toc21575"/>
      <w:bookmarkStart w:id="116" w:name="_Toc10656"/>
      <w:bookmarkStart w:id="117" w:name="_Toc8777"/>
      <w:bookmarkStart w:id="118" w:name="_Toc31700"/>
      <w:bookmarkStart w:id="119" w:name="_Toc9907"/>
      <w:bookmarkStart w:id="120" w:name="_Toc17902"/>
      <w:bookmarkStart w:id="121" w:name="_Toc6591"/>
      <w:bookmarkStart w:id="122" w:name="_Toc32418"/>
      <w:bookmarkStart w:id="123" w:name="_Toc9076"/>
      <w:bookmarkStart w:id="124" w:name="_Toc9502"/>
      <w:bookmarkStart w:id="125" w:name="_Toc6045"/>
      <w:bookmarkStart w:id="126" w:name="_Toc16432"/>
      <w:r>
        <w:rPr>
          <w:rFonts w:hint="eastAsia" w:ascii="宋体" w:hAnsi="宋体" w:cs="宋体"/>
          <w:b/>
          <w:bCs/>
          <w:sz w:val="21"/>
          <w:szCs w:val="21"/>
          <w:lang w:val="zh-CN"/>
        </w:rPr>
        <w:t>1、适用范围</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DDA3B6D">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本次招标依据采购人的采购计划，仅适用于本招标文件中所叙述的项目。</w:t>
      </w:r>
    </w:p>
    <w:p w14:paraId="7FB63EA8">
      <w:pPr>
        <w:spacing w:line="360" w:lineRule="auto"/>
        <w:outlineLvl w:val="2"/>
        <w:rPr>
          <w:rFonts w:ascii="宋体" w:hAnsi="宋体" w:cs="宋体"/>
          <w:b/>
          <w:bCs/>
          <w:sz w:val="21"/>
          <w:szCs w:val="21"/>
          <w:lang w:val="zh-CN"/>
        </w:rPr>
      </w:pPr>
      <w:bookmarkStart w:id="127" w:name="_Toc5930"/>
      <w:bookmarkStart w:id="128" w:name="_Toc3178"/>
      <w:bookmarkStart w:id="129" w:name="_Toc5763"/>
      <w:bookmarkStart w:id="130" w:name="_Toc16982"/>
      <w:bookmarkStart w:id="131" w:name="_Toc11985"/>
      <w:bookmarkStart w:id="132" w:name="_Toc21249"/>
      <w:bookmarkStart w:id="133" w:name="_Toc8078"/>
      <w:bookmarkStart w:id="134" w:name="_Toc31423"/>
      <w:bookmarkStart w:id="135" w:name="_Toc13792"/>
      <w:bookmarkStart w:id="136" w:name="_Toc3334"/>
      <w:bookmarkStart w:id="137" w:name="_Toc29786_WPSOffice_Level3"/>
      <w:bookmarkStart w:id="138" w:name="_Toc30283"/>
      <w:bookmarkStart w:id="139" w:name="_Toc17713"/>
      <w:bookmarkStart w:id="140" w:name="_Toc1089"/>
      <w:bookmarkStart w:id="141" w:name="_Toc19003"/>
      <w:bookmarkStart w:id="142" w:name="_Toc19867"/>
      <w:bookmarkStart w:id="143" w:name="_Toc3119"/>
      <w:bookmarkStart w:id="144" w:name="_Toc31397"/>
      <w:bookmarkStart w:id="145" w:name="_Toc15004"/>
      <w:bookmarkStart w:id="146" w:name="_Toc4820"/>
      <w:bookmarkStart w:id="147" w:name="_Toc8646"/>
      <w:r>
        <w:rPr>
          <w:rFonts w:hint="eastAsia" w:ascii="宋体" w:hAnsi="宋体" w:cs="宋体"/>
          <w:b/>
          <w:bCs/>
          <w:sz w:val="21"/>
          <w:szCs w:val="21"/>
          <w:lang w:val="zh-CN"/>
        </w:rPr>
        <w:t>2、采购方式、合格的</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rFonts w:hint="eastAsia" w:ascii="宋体" w:hAnsi="宋体" w:cs="宋体"/>
          <w:b/>
          <w:bCs/>
          <w:sz w:val="21"/>
          <w:szCs w:val="21"/>
          <w:lang w:val="zh-CN"/>
        </w:rPr>
        <w:t>供应商</w:t>
      </w:r>
    </w:p>
    <w:p w14:paraId="0D515B62">
      <w:pPr>
        <w:autoSpaceDE w:val="0"/>
        <w:autoSpaceDN w:val="0"/>
        <w:spacing w:line="360" w:lineRule="auto"/>
        <w:ind w:firstLine="315" w:firstLineChars="150"/>
        <w:rPr>
          <w:rFonts w:ascii="宋体" w:hAnsi="宋体" w:cs="宋体"/>
          <w:b/>
          <w:bCs/>
          <w:kern w:val="0"/>
          <w:sz w:val="21"/>
          <w:szCs w:val="21"/>
          <w:lang w:val="zh-CN"/>
        </w:rPr>
      </w:pPr>
      <w:r>
        <w:rPr>
          <w:rFonts w:hint="eastAsia" w:ascii="宋体" w:hAnsi="宋体" w:cs="宋体"/>
          <w:kern w:val="0"/>
          <w:sz w:val="21"/>
          <w:szCs w:val="21"/>
          <w:lang w:val="zh-CN"/>
        </w:rPr>
        <w:t>2.1</w:t>
      </w:r>
      <w:r>
        <w:rPr>
          <w:rFonts w:hint="eastAsia" w:ascii="宋体" w:hAnsi="宋体" w:cs="宋体"/>
          <w:kern w:val="0"/>
          <w:sz w:val="21"/>
          <w:szCs w:val="21"/>
        </w:rPr>
        <w:t xml:space="preserve"> </w:t>
      </w:r>
      <w:r>
        <w:rPr>
          <w:rFonts w:hint="eastAsia" w:ascii="宋体" w:hAnsi="宋体" w:cs="宋体"/>
          <w:kern w:val="0"/>
          <w:sz w:val="21"/>
          <w:szCs w:val="21"/>
          <w:lang w:val="zh-CN"/>
        </w:rPr>
        <w:t>本次招标采取公开招标方式。</w:t>
      </w:r>
    </w:p>
    <w:p w14:paraId="5A71579F">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2.2 合格的供应商：符合“招标公告中供应商资格要求”的条件</w:t>
      </w:r>
      <w:bookmarkStart w:id="148" w:name="_Toc15673"/>
      <w:bookmarkStart w:id="149" w:name="_Toc22479"/>
      <w:bookmarkStart w:id="150" w:name="_Toc22141"/>
      <w:bookmarkStart w:id="151" w:name="_Toc25082"/>
      <w:bookmarkStart w:id="152" w:name="_Toc24353"/>
      <w:bookmarkStart w:id="153" w:name="_Toc25626"/>
      <w:bookmarkStart w:id="154" w:name="_Toc866"/>
      <w:bookmarkStart w:id="155" w:name="_Toc14801"/>
      <w:bookmarkStart w:id="156" w:name="_Toc26087"/>
      <w:bookmarkStart w:id="157" w:name="_Toc27894"/>
      <w:bookmarkStart w:id="158" w:name="_Toc6510"/>
      <w:bookmarkStart w:id="159" w:name="_Toc8886"/>
      <w:bookmarkStart w:id="160" w:name="_Toc24184"/>
      <w:bookmarkStart w:id="161" w:name="_Toc9320_WPSOffice_Level2"/>
      <w:bookmarkStart w:id="162" w:name="_Toc11015"/>
      <w:bookmarkStart w:id="163" w:name="_Toc6562"/>
      <w:bookmarkStart w:id="164" w:name="_Toc24748"/>
      <w:bookmarkStart w:id="165" w:name="_Toc31475"/>
      <w:bookmarkStart w:id="166" w:name="_Toc13692"/>
      <w:bookmarkStart w:id="167" w:name="_Toc14885"/>
      <w:bookmarkStart w:id="168" w:name="_Toc18802_WPSOffice_Level2"/>
      <w:bookmarkStart w:id="169" w:name="_Toc32337"/>
    </w:p>
    <w:p w14:paraId="5582F824">
      <w:pPr>
        <w:spacing w:line="360" w:lineRule="auto"/>
        <w:outlineLvl w:val="2"/>
        <w:rPr>
          <w:rFonts w:ascii="宋体" w:hAnsi="宋体" w:cs="宋体"/>
          <w:b/>
          <w:bCs/>
          <w:sz w:val="21"/>
          <w:szCs w:val="21"/>
          <w:lang w:val="zh-CN"/>
        </w:rPr>
      </w:pPr>
      <w:bookmarkStart w:id="170" w:name="_Toc9325"/>
      <w:bookmarkStart w:id="171" w:name="_Toc9679"/>
      <w:r>
        <w:rPr>
          <w:rFonts w:hint="eastAsia" w:ascii="宋体" w:hAnsi="宋体" w:cs="宋体"/>
          <w:b/>
          <w:bCs/>
          <w:sz w:val="21"/>
          <w:szCs w:val="21"/>
          <w:lang w:val="zh-CN"/>
        </w:rPr>
        <w:t>3、投标费用</w:t>
      </w:r>
      <w:bookmarkEnd w:id="170"/>
      <w:bookmarkEnd w:id="171"/>
    </w:p>
    <w:p w14:paraId="00C281E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供应商应自愿承担与参加本次投标有关的费用。采购代理机构对供应商发生的费用不承担任何责任。</w:t>
      </w:r>
    </w:p>
    <w:p w14:paraId="44E5D572">
      <w:pPr>
        <w:pStyle w:val="4"/>
        <w:spacing w:line="380" w:lineRule="exact"/>
        <w:ind w:firstLine="422"/>
        <w:jc w:val="center"/>
        <w:rPr>
          <w:rFonts w:ascii="宋体" w:hAnsi="宋体" w:cs="宋体"/>
          <w:sz w:val="21"/>
          <w:szCs w:val="21"/>
          <w:lang w:val="zh-CN"/>
        </w:rPr>
      </w:pPr>
      <w:bookmarkStart w:id="172" w:name="_Toc31214"/>
      <w:bookmarkStart w:id="173" w:name="_Toc16954"/>
      <w:r>
        <w:rPr>
          <w:rFonts w:hint="eastAsia" w:ascii="宋体" w:hAnsi="宋体" w:cs="宋体"/>
          <w:sz w:val="21"/>
          <w:szCs w:val="21"/>
          <w:lang w:val="zh-CN"/>
        </w:rPr>
        <w:t>二、招标文件说明</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2"/>
      <w:bookmarkEnd w:id="173"/>
    </w:p>
    <w:p w14:paraId="18870EC2">
      <w:pPr>
        <w:spacing w:line="360" w:lineRule="auto"/>
        <w:outlineLvl w:val="2"/>
        <w:rPr>
          <w:rFonts w:ascii="宋体" w:hAnsi="宋体" w:cs="宋体"/>
          <w:b/>
          <w:bCs/>
          <w:sz w:val="21"/>
          <w:szCs w:val="21"/>
          <w:lang w:val="zh-CN"/>
        </w:rPr>
      </w:pPr>
      <w:bookmarkStart w:id="174" w:name="_Toc2219"/>
      <w:bookmarkStart w:id="175" w:name="_Toc1582"/>
      <w:bookmarkStart w:id="176" w:name="_Toc55"/>
      <w:bookmarkStart w:id="177" w:name="_Toc28802"/>
      <w:bookmarkStart w:id="178" w:name="_Toc5542"/>
      <w:bookmarkStart w:id="179" w:name="_Toc2503"/>
      <w:bookmarkStart w:id="180" w:name="_Toc30613"/>
      <w:bookmarkStart w:id="181" w:name="_Toc28740"/>
      <w:bookmarkStart w:id="182" w:name="_Toc10673"/>
      <w:bookmarkStart w:id="183" w:name="_Toc2524"/>
      <w:bookmarkStart w:id="184" w:name="_Toc1369"/>
      <w:bookmarkStart w:id="185" w:name="_Toc28328"/>
      <w:bookmarkStart w:id="186" w:name="_Toc17828"/>
      <w:bookmarkStart w:id="187" w:name="_Toc12843"/>
      <w:bookmarkStart w:id="188" w:name="_Toc9050"/>
      <w:bookmarkStart w:id="189" w:name="_Toc21054"/>
      <w:bookmarkStart w:id="190" w:name="_Toc5330"/>
      <w:bookmarkStart w:id="191" w:name="_Toc6805"/>
      <w:bookmarkStart w:id="192" w:name="_Toc15493_WPSOffice_Level3"/>
      <w:bookmarkStart w:id="193" w:name="_Toc772"/>
      <w:bookmarkStart w:id="194" w:name="_Toc22581"/>
      <w:r>
        <w:rPr>
          <w:rFonts w:hint="eastAsia" w:ascii="宋体" w:hAnsi="宋体" w:cs="宋体"/>
          <w:b/>
          <w:bCs/>
          <w:sz w:val="21"/>
          <w:szCs w:val="21"/>
          <w:lang w:val="zh-CN"/>
        </w:rPr>
        <w:t>4、招标文件的构成</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540F57F1">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4.1</w:t>
      </w:r>
      <w:r>
        <w:rPr>
          <w:rFonts w:hint="eastAsia" w:ascii="宋体" w:hAnsi="宋体" w:cs="宋体"/>
          <w:kern w:val="0"/>
          <w:sz w:val="21"/>
          <w:szCs w:val="21"/>
        </w:rPr>
        <w:t xml:space="preserve"> </w:t>
      </w:r>
      <w:r>
        <w:rPr>
          <w:rFonts w:hint="eastAsia" w:ascii="宋体" w:hAnsi="宋体" w:cs="宋体"/>
          <w:kern w:val="0"/>
          <w:sz w:val="21"/>
          <w:szCs w:val="21"/>
          <w:lang w:val="zh-CN"/>
        </w:rPr>
        <w:t>招标文件包括：</w:t>
      </w:r>
    </w:p>
    <w:p w14:paraId="116B9BA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第一部分 招标公告；</w:t>
      </w:r>
    </w:p>
    <w:p w14:paraId="3257D08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第二部分 供应商须知；</w:t>
      </w:r>
    </w:p>
    <w:p w14:paraId="003BFF7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第三部分 合同条款；</w:t>
      </w:r>
    </w:p>
    <w:p w14:paraId="65181D3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 xml:space="preserve">第四部分 投标文件格式； </w:t>
      </w:r>
    </w:p>
    <w:p w14:paraId="6F0C296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 xml:space="preserve">第五部分 </w:t>
      </w:r>
      <w:r>
        <w:rPr>
          <w:rFonts w:hint="eastAsia" w:ascii="宋体" w:hAnsi="宋体" w:cs="宋体"/>
          <w:kern w:val="0"/>
          <w:sz w:val="21"/>
          <w:szCs w:val="21"/>
          <w:lang w:val="en-US" w:eastAsia="zh-CN"/>
        </w:rPr>
        <w:t>采购内容</w:t>
      </w:r>
      <w:r>
        <w:rPr>
          <w:rFonts w:hint="eastAsia" w:ascii="宋体" w:hAnsi="宋体" w:cs="宋体"/>
          <w:kern w:val="0"/>
          <w:sz w:val="21"/>
          <w:szCs w:val="21"/>
          <w:lang w:val="zh-CN"/>
        </w:rPr>
        <w:t>及技术参数</w:t>
      </w:r>
      <w:r>
        <w:rPr>
          <w:rFonts w:hint="eastAsia" w:ascii="宋体" w:hAnsi="宋体" w:cs="宋体"/>
          <w:kern w:val="0"/>
          <w:sz w:val="21"/>
          <w:szCs w:val="21"/>
          <w:lang w:val="en-US" w:eastAsia="zh-CN"/>
        </w:rPr>
        <w:t>要求</w:t>
      </w:r>
      <w:r>
        <w:rPr>
          <w:rFonts w:hint="eastAsia" w:ascii="宋体" w:hAnsi="宋体" w:cs="宋体"/>
          <w:kern w:val="0"/>
          <w:sz w:val="21"/>
          <w:szCs w:val="21"/>
          <w:lang w:val="zh-CN"/>
        </w:rPr>
        <w:t xml:space="preserve">。 </w:t>
      </w:r>
    </w:p>
    <w:p w14:paraId="6985C7A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 xml:space="preserve">4.2 </w:t>
      </w:r>
      <w:r>
        <w:rPr>
          <w:rFonts w:hint="eastAsia" w:ascii="宋体" w:hAnsi="宋体" w:cs="宋体"/>
          <w:kern w:val="0"/>
          <w:sz w:val="21"/>
          <w:szCs w:val="21"/>
          <w:lang w:eastAsia="zh-CN"/>
        </w:rPr>
        <w:t>供应商</w:t>
      </w:r>
      <w:r>
        <w:rPr>
          <w:rFonts w:hint="eastAsia" w:ascii="宋体" w:hAnsi="宋体" w:cs="宋体"/>
          <w:kern w:val="0"/>
          <w:sz w:val="21"/>
          <w:szCs w:val="21"/>
        </w:rPr>
        <w:t>应当按照招标文件的要求编制投标文件。投标文件应当对招标文件提出的要求和条件作出准确响应。</w:t>
      </w:r>
    </w:p>
    <w:p w14:paraId="44C5A807">
      <w:pPr>
        <w:spacing w:line="360" w:lineRule="auto"/>
        <w:outlineLvl w:val="2"/>
        <w:rPr>
          <w:rFonts w:ascii="宋体" w:hAnsi="宋体" w:cs="宋体"/>
          <w:b/>
          <w:bCs/>
          <w:sz w:val="21"/>
          <w:szCs w:val="21"/>
          <w:lang w:val="zh-CN"/>
        </w:rPr>
      </w:pPr>
      <w:bookmarkStart w:id="195" w:name="_Toc26946"/>
      <w:bookmarkStart w:id="196" w:name="_Toc4460"/>
      <w:bookmarkStart w:id="197" w:name="_Toc22965"/>
      <w:bookmarkStart w:id="198" w:name="_Toc17599"/>
      <w:bookmarkStart w:id="199" w:name="_Toc8047"/>
      <w:bookmarkStart w:id="200" w:name="_Toc5465"/>
      <w:bookmarkStart w:id="201" w:name="_Toc19558"/>
      <w:bookmarkStart w:id="202" w:name="_Toc29128_WPSOffice_Level3"/>
      <w:bookmarkStart w:id="203" w:name="_Toc27966"/>
      <w:bookmarkStart w:id="204" w:name="_Toc30055"/>
      <w:bookmarkStart w:id="205" w:name="_Toc9095"/>
      <w:bookmarkStart w:id="206" w:name="_Toc28483"/>
      <w:bookmarkStart w:id="207" w:name="_Toc9697"/>
      <w:bookmarkStart w:id="208" w:name="_Toc29400"/>
      <w:bookmarkStart w:id="209" w:name="_Toc32048"/>
      <w:bookmarkStart w:id="210" w:name="_Toc26590"/>
      <w:bookmarkStart w:id="211" w:name="_Toc11001"/>
      <w:bookmarkStart w:id="212" w:name="_Toc4804"/>
      <w:bookmarkStart w:id="213" w:name="_Toc11151"/>
      <w:bookmarkStart w:id="214" w:name="_Toc10254"/>
      <w:bookmarkStart w:id="215" w:name="_Toc3039"/>
      <w:r>
        <w:rPr>
          <w:rFonts w:hint="eastAsia" w:ascii="宋体" w:hAnsi="宋体" w:cs="宋体"/>
          <w:b/>
          <w:bCs/>
          <w:sz w:val="21"/>
          <w:szCs w:val="21"/>
          <w:lang w:val="zh-CN"/>
        </w:rPr>
        <w:t>5、招标公告、招标文件、采购活动和中标结果的质疑</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C2F280D">
      <w:pPr>
        <w:autoSpaceDE w:val="0"/>
        <w:autoSpaceDN w:val="0"/>
        <w:spacing w:line="360" w:lineRule="auto"/>
        <w:ind w:firstLine="420" w:firstLineChars="200"/>
        <w:rPr>
          <w:rFonts w:ascii="宋体" w:hAnsi="宋体" w:cs="宋体"/>
          <w:kern w:val="0"/>
          <w:sz w:val="21"/>
          <w:szCs w:val="21"/>
          <w:lang w:val="zh-CN"/>
        </w:rPr>
      </w:pPr>
      <w:bookmarkStart w:id="216" w:name="_Toc5448"/>
      <w:bookmarkStart w:id="217" w:name="_Toc6087"/>
      <w:bookmarkStart w:id="218" w:name="_Toc32493"/>
      <w:bookmarkStart w:id="219" w:name="_Toc24230"/>
      <w:bookmarkStart w:id="220" w:name="_Toc17926"/>
      <w:bookmarkStart w:id="221" w:name="_Toc12819"/>
      <w:bookmarkStart w:id="222" w:name="_Toc28905"/>
      <w:bookmarkStart w:id="223" w:name="_Toc2677"/>
      <w:bookmarkStart w:id="224" w:name="_Toc14350"/>
      <w:bookmarkStart w:id="225" w:name="_Toc13786_WPSOffice_Level3"/>
      <w:bookmarkStart w:id="226" w:name="_Toc8000"/>
      <w:bookmarkStart w:id="227" w:name="_Toc15181"/>
      <w:bookmarkStart w:id="228" w:name="_Toc17030"/>
      <w:bookmarkStart w:id="229" w:name="_Toc2597"/>
      <w:bookmarkStart w:id="230" w:name="_Toc3887"/>
      <w:bookmarkStart w:id="231" w:name="_Toc11486"/>
      <w:bookmarkStart w:id="232" w:name="_Toc27857"/>
      <w:bookmarkStart w:id="233" w:name="_Toc29942"/>
      <w:bookmarkStart w:id="234" w:name="_Toc10103"/>
      <w:r>
        <w:rPr>
          <w:rFonts w:hint="eastAsia" w:ascii="宋体" w:hAnsi="宋体" w:cs="宋体"/>
          <w:kern w:val="0"/>
          <w:sz w:val="21"/>
          <w:szCs w:val="21"/>
        </w:rPr>
        <w:t xml:space="preserve">5.1 </w:t>
      </w:r>
      <w:r>
        <w:rPr>
          <w:rFonts w:hint="eastAsia" w:ascii="宋体" w:hAnsi="宋体" w:cs="宋体"/>
          <w:kern w:val="0"/>
          <w:sz w:val="21"/>
          <w:szCs w:val="21"/>
          <w:lang w:val="zh-CN"/>
        </w:rPr>
        <w:t>供应商对招标活动事项有疑问的，可以向招标人提出询问。询问可以采取电话、电子邮件、当面或者书面等形式。对供应商的询问，招标人将依法及时作出答复，但答复的内容不涉及商业秘密或者依法应当保密的内容。</w:t>
      </w:r>
    </w:p>
    <w:p w14:paraId="15430FB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5.2 </w:t>
      </w:r>
      <w:r>
        <w:rPr>
          <w:rFonts w:hint="eastAsia" w:ascii="宋体" w:hAnsi="宋体" w:cs="宋体"/>
          <w:kern w:val="0"/>
          <w:sz w:val="21"/>
          <w:szCs w:val="21"/>
          <w:lang w:val="zh-CN"/>
        </w:rPr>
        <w:t>供应商认为招标公告、招标文件、采购活动和中标结果使自己的权益受到损害的，可以在知道或者应知其权益受到损害之日起</w:t>
      </w:r>
      <w:r>
        <w:rPr>
          <w:rFonts w:hint="eastAsia" w:ascii="宋体" w:hAnsi="宋体" w:cs="宋体"/>
          <w:kern w:val="0"/>
          <w:sz w:val="21"/>
          <w:szCs w:val="21"/>
        </w:rPr>
        <w:t>7</w:t>
      </w:r>
      <w:r>
        <w:rPr>
          <w:rFonts w:hint="eastAsia" w:ascii="宋体" w:hAnsi="宋体" w:cs="宋体"/>
          <w:kern w:val="0"/>
          <w:sz w:val="21"/>
          <w:szCs w:val="21"/>
          <w:lang w:val="zh-CN"/>
        </w:rPr>
        <w:t>个工作日内以书面形式（如信件、传真等）向采购人或者采购代理机构提出质疑，不接受匿名质疑。</w:t>
      </w:r>
      <w:r>
        <w:rPr>
          <w:rFonts w:hint="eastAsia" w:ascii="宋体" w:hAnsi="宋体" w:cs="宋体"/>
          <w:kern w:val="0"/>
          <w:sz w:val="21"/>
          <w:szCs w:val="21"/>
        </w:rPr>
        <w:t>潜在</w:t>
      </w:r>
      <w:r>
        <w:rPr>
          <w:rFonts w:hint="eastAsia" w:ascii="宋体" w:hAnsi="宋体" w:cs="宋体"/>
          <w:kern w:val="0"/>
          <w:sz w:val="21"/>
          <w:szCs w:val="21"/>
          <w:lang w:eastAsia="zh-CN"/>
        </w:rPr>
        <w:t>供应商</w:t>
      </w:r>
      <w:r>
        <w:rPr>
          <w:rFonts w:hint="eastAsia" w:ascii="宋体" w:hAnsi="宋体" w:cs="宋体"/>
          <w:kern w:val="0"/>
          <w:sz w:val="21"/>
          <w:szCs w:val="21"/>
        </w:rPr>
        <w:t>可以对</w:t>
      </w:r>
      <w:r>
        <w:rPr>
          <w:rFonts w:hint="eastAsia" w:ascii="宋体" w:hAnsi="宋体" w:cs="宋体"/>
          <w:kern w:val="0"/>
          <w:sz w:val="21"/>
          <w:szCs w:val="21"/>
          <w:lang w:val="zh-CN"/>
        </w:rPr>
        <w:t>招标公告、</w:t>
      </w:r>
      <w:r>
        <w:rPr>
          <w:rFonts w:hint="eastAsia" w:ascii="宋体" w:hAnsi="宋体" w:cs="宋体"/>
          <w:kern w:val="0"/>
          <w:sz w:val="21"/>
          <w:szCs w:val="21"/>
        </w:rPr>
        <w:t>招标文件提出质疑。</w:t>
      </w:r>
      <w:r>
        <w:rPr>
          <w:rFonts w:hint="eastAsia" w:ascii="宋体" w:hAnsi="宋体" w:cs="宋体"/>
          <w:kern w:val="0"/>
          <w:sz w:val="21"/>
          <w:szCs w:val="21"/>
          <w:lang w:val="zh-CN"/>
        </w:rPr>
        <w:t>采购人或采购代理机构在收到供应商的书面质疑后7个工作日内予以答复，如有变更事宜，应当在发布本次招标公告的网站上发布变更公告，告知本项目的所有潜在供应商。</w:t>
      </w:r>
    </w:p>
    <w:p w14:paraId="03F87B9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5.3 </w:t>
      </w:r>
      <w:r>
        <w:rPr>
          <w:rFonts w:hint="eastAsia" w:ascii="宋体" w:hAnsi="宋体" w:cs="宋体"/>
          <w:kern w:val="0"/>
          <w:sz w:val="21"/>
          <w:szCs w:val="21"/>
          <w:lang w:val="zh-CN"/>
        </w:rPr>
        <w:t>供应商应当在法定质疑期内一次性提出针对同一采购程序环节的质疑，超过次数的质疑将不予受理。以联合体形式参加政府采购活动的，其质疑应当由组成联合体的所有供应商共同提出。</w:t>
      </w:r>
    </w:p>
    <w:p w14:paraId="03296DF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5.4 </w:t>
      </w:r>
      <w:r>
        <w:rPr>
          <w:rFonts w:hint="eastAsia" w:ascii="宋体" w:hAnsi="宋体" w:cs="宋体"/>
          <w:kern w:val="0"/>
          <w:sz w:val="21"/>
          <w:szCs w:val="21"/>
          <w:lang w:val="zh-CN"/>
        </w:rPr>
        <w:t>参与采购活动的供应商对评审过程或者结果提出质疑的，采购人或采购代理机构可以组织原评审委员会协助处理质疑事项，并依据评审委员会出具的意见进行答复。</w:t>
      </w:r>
    </w:p>
    <w:p w14:paraId="1852D1A7">
      <w:pPr>
        <w:spacing w:line="360" w:lineRule="auto"/>
        <w:outlineLvl w:val="2"/>
        <w:rPr>
          <w:rFonts w:ascii="宋体" w:hAnsi="宋体" w:cs="宋体"/>
          <w:b/>
          <w:bCs/>
          <w:sz w:val="21"/>
          <w:szCs w:val="21"/>
          <w:lang w:val="zh-CN"/>
        </w:rPr>
      </w:pPr>
      <w:bookmarkStart w:id="235" w:name="_Toc18010"/>
      <w:bookmarkStart w:id="236" w:name="_Toc21526"/>
      <w:r>
        <w:rPr>
          <w:rFonts w:hint="eastAsia" w:ascii="宋体" w:hAnsi="宋体" w:cs="宋体"/>
          <w:b/>
          <w:bCs/>
          <w:sz w:val="21"/>
          <w:szCs w:val="21"/>
          <w:lang w:val="zh-CN"/>
        </w:rPr>
        <w:t>6、招标文件的澄清或修改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554FBAC9">
      <w:pPr>
        <w:spacing w:line="360" w:lineRule="auto"/>
        <w:ind w:firstLine="420" w:firstLineChars="200"/>
        <w:rPr>
          <w:rFonts w:ascii="宋体" w:hAnsi="宋体" w:cs="宋体"/>
          <w:sz w:val="21"/>
          <w:szCs w:val="21"/>
        </w:rPr>
      </w:pPr>
      <w:bookmarkStart w:id="237" w:name="_Toc3254"/>
      <w:bookmarkStart w:id="238" w:name="_Toc18779_WPSOffice_Level2"/>
      <w:bookmarkStart w:id="239" w:name="_Toc22138"/>
      <w:bookmarkStart w:id="240" w:name="_Toc10630"/>
      <w:bookmarkStart w:id="241" w:name="_Toc29030"/>
      <w:bookmarkStart w:id="242" w:name="_Toc5883"/>
      <w:bookmarkStart w:id="243" w:name="_Toc30722"/>
      <w:bookmarkStart w:id="244" w:name="_Toc10007"/>
      <w:bookmarkStart w:id="245" w:name="_Toc24185"/>
      <w:bookmarkStart w:id="246" w:name="_Toc28143"/>
      <w:bookmarkStart w:id="247" w:name="_Toc27388"/>
      <w:bookmarkStart w:id="248" w:name="_Toc32695"/>
      <w:bookmarkStart w:id="249" w:name="_Toc27974"/>
      <w:bookmarkStart w:id="250" w:name="_Toc17782"/>
      <w:bookmarkStart w:id="251" w:name="_Toc16979_WPSOffice_Level2"/>
      <w:bookmarkStart w:id="252" w:name="_Toc32692"/>
      <w:bookmarkStart w:id="253" w:name="_Toc17727"/>
      <w:bookmarkStart w:id="254" w:name="_Toc5555"/>
      <w:bookmarkStart w:id="255" w:name="_Toc10094"/>
      <w:bookmarkStart w:id="256" w:name="_Toc7036"/>
      <w:bookmarkStart w:id="257" w:name="_Toc207"/>
      <w:bookmarkStart w:id="258" w:name="_Toc18216"/>
      <w:r>
        <w:rPr>
          <w:rFonts w:hint="eastAsia" w:ascii="宋体" w:hAnsi="宋体" w:cs="宋体"/>
          <w:sz w:val="21"/>
          <w:szCs w:val="21"/>
        </w:rPr>
        <w:t>6.1</w:t>
      </w:r>
      <w:r>
        <w:rPr>
          <w:rFonts w:hint="eastAsia" w:ascii="宋体" w:hAnsi="宋体" w:cs="宋体"/>
          <w:sz w:val="21"/>
          <w:szCs w:val="21"/>
          <w:lang w:eastAsia="zh-CN"/>
        </w:rPr>
        <w:t>供应商</w:t>
      </w:r>
      <w:r>
        <w:rPr>
          <w:rFonts w:hint="eastAsia" w:ascii="宋体" w:hAnsi="宋体" w:cs="宋体"/>
          <w:sz w:val="21"/>
          <w:szCs w:val="21"/>
        </w:rPr>
        <w:t>应仔细阅读和检查招标文件的全部内容。如发现缺页或附件不全，应及时向采购人提出，以便补齐。如有疑问，应在</w:t>
      </w:r>
      <w:r>
        <w:rPr>
          <w:rFonts w:hint="eastAsia" w:ascii="宋体" w:hAnsi="宋体" w:cs="宋体"/>
          <w:sz w:val="21"/>
          <w:szCs w:val="21"/>
          <w:lang w:eastAsia="zh-CN"/>
        </w:rPr>
        <w:t>供应商</w:t>
      </w:r>
      <w:r>
        <w:rPr>
          <w:rFonts w:hint="eastAsia" w:ascii="宋体" w:hAnsi="宋体" w:cs="宋体"/>
          <w:sz w:val="21"/>
          <w:szCs w:val="21"/>
        </w:rPr>
        <w:t>须知前附表规定的时间前，应在平顶山市公共资源交易中心电子交易系统中提出，采购人应对</w:t>
      </w:r>
      <w:r>
        <w:rPr>
          <w:rFonts w:hint="eastAsia" w:ascii="宋体" w:hAnsi="宋体" w:cs="宋体"/>
          <w:sz w:val="21"/>
          <w:szCs w:val="21"/>
          <w:lang w:eastAsia="zh-CN"/>
        </w:rPr>
        <w:t>供应商</w:t>
      </w:r>
      <w:r>
        <w:rPr>
          <w:rFonts w:hint="eastAsia" w:ascii="宋体" w:hAnsi="宋体" w:cs="宋体"/>
          <w:sz w:val="21"/>
          <w:szCs w:val="21"/>
        </w:rPr>
        <w:t>所提出的疑问在平顶山市公共资源交易中心电子交易系统中进行回复。</w:t>
      </w:r>
    </w:p>
    <w:p w14:paraId="4E897DDB">
      <w:pPr>
        <w:spacing w:line="360" w:lineRule="auto"/>
        <w:ind w:firstLine="420" w:firstLineChars="200"/>
        <w:rPr>
          <w:rFonts w:ascii="宋体" w:hAnsi="宋体" w:cs="宋体"/>
          <w:sz w:val="21"/>
          <w:szCs w:val="21"/>
        </w:rPr>
      </w:pPr>
      <w:r>
        <w:rPr>
          <w:rFonts w:hint="eastAsia" w:ascii="宋体" w:hAnsi="宋体" w:cs="宋体"/>
          <w:sz w:val="21"/>
          <w:szCs w:val="21"/>
        </w:rPr>
        <w:t>6.2 招标文件的澄清将在供应商须知前附表规定的提交投标文件截止时间15天前在平顶山市公共资源交易中心电子交易系统中发出。如果澄清发出的时间距提交投标文件截止时间不足15天，相应延长提交投标文件截止时间。</w:t>
      </w:r>
    </w:p>
    <w:p w14:paraId="7D54E05D">
      <w:pPr>
        <w:spacing w:line="360" w:lineRule="auto"/>
        <w:ind w:firstLine="420" w:firstLineChars="200"/>
        <w:rPr>
          <w:rFonts w:ascii="宋体" w:hAnsi="宋体" w:cs="宋体"/>
          <w:sz w:val="21"/>
          <w:szCs w:val="21"/>
        </w:rPr>
      </w:pPr>
      <w:r>
        <w:rPr>
          <w:rFonts w:hint="eastAsia" w:ascii="宋体" w:hAnsi="宋体" w:cs="宋体"/>
          <w:sz w:val="21"/>
          <w:szCs w:val="21"/>
        </w:rPr>
        <w:t>6.3采购人可以修改招标文件，并在平顶山市公共资源交易中心电子交易系统中发出。但如果修改招标文件的时间距投标截止时间不足15天，并且修改内容影响投标文件编制的，将相应延长投标截止时间。</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079DBD03">
      <w:pPr>
        <w:pStyle w:val="4"/>
        <w:ind w:firstLine="422"/>
        <w:jc w:val="center"/>
        <w:rPr>
          <w:rFonts w:ascii="宋体" w:hAnsi="宋体" w:cs="宋体"/>
          <w:sz w:val="21"/>
          <w:szCs w:val="21"/>
          <w:lang w:val="zh-CN"/>
        </w:rPr>
      </w:pPr>
      <w:bookmarkStart w:id="259" w:name="_Toc26667"/>
      <w:bookmarkStart w:id="260" w:name="_Toc13971"/>
      <w:bookmarkStart w:id="261" w:name="_Toc10514"/>
      <w:bookmarkStart w:id="262" w:name="_Toc11666_WPSOffice_Level3"/>
      <w:bookmarkStart w:id="263" w:name="_Toc8120"/>
      <w:bookmarkStart w:id="264" w:name="_Toc16771"/>
      <w:bookmarkStart w:id="265" w:name="_Toc19994"/>
      <w:bookmarkStart w:id="266" w:name="_Toc1060"/>
      <w:bookmarkStart w:id="267" w:name="_Toc991"/>
      <w:bookmarkStart w:id="268" w:name="_Toc3061"/>
      <w:bookmarkStart w:id="269" w:name="_Toc10641"/>
      <w:bookmarkStart w:id="270" w:name="_Toc18311"/>
      <w:bookmarkStart w:id="271" w:name="_Toc19753"/>
      <w:bookmarkStart w:id="272" w:name="_Toc23983"/>
      <w:bookmarkStart w:id="273" w:name="_Toc29478"/>
      <w:bookmarkStart w:id="274" w:name="_Toc30977"/>
      <w:bookmarkStart w:id="275" w:name="_Toc30890"/>
      <w:bookmarkStart w:id="276" w:name="_Toc27422"/>
      <w:bookmarkStart w:id="277" w:name="_Toc29390"/>
      <w:bookmarkStart w:id="278" w:name="_Toc12250"/>
      <w:bookmarkStart w:id="279" w:name="_Toc22883"/>
      <w:r>
        <w:rPr>
          <w:rFonts w:hint="eastAsia" w:ascii="宋体" w:hAnsi="宋体" w:cs="宋体"/>
          <w:sz w:val="21"/>
          <w:szCs w:val="21"/>
          <w:lang w:val="zh-CN"/>
        </w:rPr>
        <w:t>三、投标文件的编制</w:t>
      </w:r>
      <w:bookmarkEnd w:id="259"/>
      <w:bookmarkEnd w:id="260"/>
    </w:p>
    <w:p w14:paraId="4AC22187">
      <w:pPr>
        <w:spacing w:line="360" w:lineRule="auto"/>
        <w:outlineLvl w:val="2"/>
        <w:rPr>
          <w:rFonts w:ascii="宋体" w:hAnsi="宋体" w:cs="宋体"/>
          <w:b/>
          <w:bCs/>
          <w:sz w:val="21"/>
          <w:szCs w:val="21"/>
          <w:lang w:val="zh-CN"/>
        </w:rPr>
      </w:pPr>
      <w:bookmarkStart w:id="280" w:name="_Toc26368"/>
      <w:bookmarkStart w:id="281" w:name="_Toc3071"/>
      <w:bookmarkStart w:id="282" w:name="_Toc12603"/>
      <w:bookmarkStart w:id="283" w:name="_Toc25727"/>
      <w:bookmarkStart w:id="284" w:name="_Toc4530"/>
      <w:bookmarkStart w:id="285" w:name="_Toc22462"/>
      <w:bookmarkStart w:id="286" w:name="_Toc16820"/>
      <w:bookmarkStart w:id="287" w:name="_Toc21406"/>
      <w:bookmarkStart w:id="288" w:name="_Toc27352"/>
      <w:bookmarkStart w:id="289" w:name="_Toc24455_WPSOffice_Level3"/>
      <w:bookmarkStart w:id="290" w:name="_Toc5509"/>
      <w:bookmarkStart w:id="291" w:name="_Toc29859"/>
      <w:bookmarkStart w:id="292" w:name="_Toc8299"/>
      <w:bookmarkStart w:id="293" w:name="_Toc21869"/>
      <w:bookmarkStart w:id="294" w:name="_Toc7996"/>
      <w:bookmarkStart w:id="295" w:name="_Toc11296"/>
      <w:bookmarkStart w:id="296" w:name="_Toc28801"/>
      <w:bookmarkStart w:id="297" w:name="_Toc22546"/>
      <w:bookmarkStart w:id="298" w:name="_Toc29544"/>
      <w:bookmarkStart w:id="299" w:name="_Toc14598"/>
      <w:bookmarkStart w:id="300" w:name="_Toc20841"/>
      <w:r>
        <w:rPr>
          <w:rFonts w:hint="eastAsia" w:ascii="宋体" w:hAnsi="宋体" w:cs="宋体"/>
          <w:b/>
          <w:bCs/>
          <w:sz w:val="21"/>
          <w:szCs w:val="21"/>
          <w:lang w:val="zh-CN"/>
        </w:rPr>
        <w:t>7、投标文件的语言及度量衡单位</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32050985">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7.1</w:t>
      </w:r>
      <w:r>
        <w:rPr>
          <w:rFonts w:hint="eastAsia" w:ascii="宋体" w:hAnsi="宋体" w:cs="宋体"/>
          <w:kern w:val="0"/>
          <w:sz w:val="21"/>
          <w:szCs w:val="21"/>
        </w:rPr>
        <w:t xml:space="preserve"> </w:t>
      </w:r>
      <w:r>
        <w:rPr>
          <w:rFonts w:hint="eastAsia" w:ascii="宋体" w:hAnsi="宋体" w:cs="宋体"/>
          <w:kern w:val="0"/>
          <w:sz w:val="21"/>
          <w:szCs w:val="21"/>
          <w:lang w:val="zh-CN"/>
        </w:rPr>
        <w:t>供应商提交的投标文件以及供应商与采购代理机构就此投标发生的所有来往函电均应使用简体中文。</w:t>
      </w:r>
      <w:r>
        <w:rPr>
          <w:rFonts w:hint="eastAsia" w:ascii="宋体" w:hAnsi="宋体" w:cs="宋体"/>
          <w:sz w:val="21"/>
          <w:szCs w:val="21"/>
        </w:rPr>
        <w:t>除签名、盖章、专用名称等特殊情形外，以中文汉语以外的文字表述的投标文件视同未提供。</w:t>
      </w:r>
    </w:p>
    <w:p w14:paraId="535A83A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7.2 除招标文件中另有规定外，投标文件所使用的度量衡单位，均须采用国家法定计量单位。</w:t>
      </w:r>
    </w:p>
    <w:p w14:paraId="0DFB49F7">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7.3 附有外文资料的须翻译成中文，并加盖供应商公章，如果翻译的中文资料与外文资料出现差异与矛盾时，以中文为准，其准确性由供应商负责。</w:t>
      </w:r>
    </w:p>
    <w:p w14:paraId="4A464820">
      <w:pPr>
        <w:spacing w:line="360" w:lineRule="auto"/>
        <w:outlineLvl w:val="2"/>
        <w:rPr>
          <w:rFonts w:ascii="宋体" w:hAnsi="宋体" w:cs="宋体"/>
          <w:b/>
          <w:bCs/>
          <w:sz w:val="21"/>
          <w:szCs w:val="21"/>
          <w:lang w:val="zh-CN"/>
        </w:rPr>
      </w:pPr>
      <w:bookmarkStart w:id="301" w:name="_Toc18092"/>
      <w:bookmarkStart w:id="302" w:name="_Toc8823"/>
      <w:bookmarkStart w:id="303" w:name="_Toc4265"/>
      <w:bookmarkStart w:id="304" w:name="_Toc13296"/>
      <w:bookmarkStart w:id="305" w:name="_Toc14163"/>
      <w:bookmarkStart w:id="306" w:name="_Toc13379"/>
      <w:bookmarkStart w:id="307" w:name="_Toc5598"/>
      <w:bookmarkStart w:id="308" w:name="_Toc17688"/>
      <w:bookmarkStart w:id="309" w:name="_Toc26346"/>
      <w:bookmarkStart w:id="310" w:name="_Toc14910"/>
      <w:bookmarkStart w:id="311" w:name="_Toc2250"/>
      <w:bookmarkStart w:id="312" w:name="_Toc8668"/>
      <w:bookmarkStart w:id="313" w:name="_Toc21074"/>
      <w:bookmarkStart w:id="314" w:name="_Toc10"/>
      <w:bookmarkStart w:id="315" w:name="_Toc31794"/>
      <w:bookmarkStart w:id="316" w:name="_Toc20950"/>
      <w:bookmarkStart w:id="317" w:name="_Toc1015"/>
      <w:bookmarkStart w:id="318" w:name="_Toc845"/>
      <w:bookmarkStart w:id="319" w:name="_Toc23685_WPSOffice_Level3"/>
      <w:bookmarkStart w:id="320" w:name="_Toc4590"/>
      <w:bookmarkStart w:id="321" w:name="_Toc25113"/>
      <w:r>
        <w:rPr>
          <w:rFonts w:hint="eastAsia" w:ascii="宋体" w:hAnsi="宋体" w:cs="宋体"/>
          <w:b/>
          <w:bCs/>
          <w:sz w:val="21"/>
          <w:szCs w:val="21"/>
          <w:lang w:val="zh-CN"/>
        </w:rPr>
        <w:t>8、投标报价及币种</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2143DFDF">
      <w:pPr>
        <w:autoSpaceDE w:val="0"/>
        <w:autoSpaceDN w:val="0"/>
        <w:spacing w:line="360" w:lineRule="auto"/>
        <w:ind w:firstLine="420" w:firstLineChars="200"/>
        <w:rPr>
          <w:rFonts w:ascii="宋体" w:hAnsi="宋体" w:cs="宋体"/>
          <w:kern w:val="0"/>
          <w:sz w:val="21"/>
          <w:szCs w:val="21"/>
          <w:u w:val="dashDotHeavy"/>
          <w:lang w:val="zh-CN"/>
        </w:rPr>
      </w:pPr>
      <w:bookmarkStart w:id="322" w:name="_Toc24370"/>
      <w:bookmarkStart w:id="323" w:name="_Toc21999"/>
      <w:bookmarkStart w:id="324" w:name="_Toc7627"/>
      <w:bookmarkStart w:id="325" w:name="_Toc13148"/>
      <w:bookmarkStart w:id="326" w:name="_Toc16934"/>
      <w:bookmarkStart w:id="327" w:name="_Toc15412"/>
      <w:bookmarkStart w:id="328" w:name="_Toc31009"/>
      <w:bookmarkStart w:id="329" w:name="_Toc11508"/>
      <w:bookmarkStart w:id="330" w:name="_Toc28628"/>
      <w:bookmarkStart w:id="331" w:name="_Toc28974"/>
      <w:bookmarkStart w:id="332" w:name="_Toc15534"/>
      <w:bookmarkStart w:id="333" w:name="_Toc17123"/>
      <w:bookmarkStart w:id="334" w:name="_Toc26800"/>
      <w:bookmarkStart w:id="335" w:name="_Toc32395"/>
      <w:bookmarkStart w:id="336" w:name="_Toc25844"/>
      <w:bookmarkStart w:id="337" w:name="_Toc2643"/>
      <w:bookmarkStart w:id="338" w:name="_Toc9320_WPSOffice_Level3"/>
      <w:bookmarkStart w:id="339" w:name="_Toc23796"/>
      <w:bookmarkStart w:id="340" w:name="_Toc31504"/>
      <w:r>
        <w:rPr>
          <w:rFonts w:hint="eastAsia" w:ascii="宋体" w:hAnsi="宋体" w:cs="宋体"/>
          <w:kern w:val="0"/>
          <w:sz w:val="21"/>
          <w:szCs w:val="21"/>
          <w:lang w:val="zh-CN"/>
        </w:rPr>
        <w:t>8.1</w:t>
      </w:r>
      <w:r>
        <w:rPr>
          <w:rFonts w:hint="eastAsia" w:ascii="宋体" w:hAnsi="宋体" w:cs="宋体"/>
          <w:kern w:val="0"/>
          <w:sz w:val="21"/>
          <w:szCs w:val="21"/>
        </w:rPr>
        <w:t xml:space="preserve"> </w:t>
      </w:r>
      <w:r>
        <w:rPr>
          <w:rFonts w:hint="eastAsia" w:ascii="宋体" w:hAnsi="宋体" w:cs="宋体"/>
          <w:kern w:val="0"/>
          <w:sz w:val="21"/>
          <w:szCs w:val="21"/>
          <w:lang w:val="zh-CN"/>
        </w:rPr>
        <w:t>投标报价为人民币。投标报价必须包括：</w:t>
      </w:r>
      <w:r>
        <w:rPr>
          <w:rFonts w:hint="eastAsia" w:ascii="宋体" w:hAnsi="宋体" w:cs="宋体"/>
          <w:b/>
          <w:kern w:val="0"/>
          <w:sz w:val="21"/>
          <w:szCs w:val="21"/>
          <w:lang w:val="zh-CN"/>
        </w:rPr>
        <w:t>产品费、验收费、手续费、包装费、运输费、保险费、安装费、调试费、培训费、售前、售中、售后服务费、税金及不可预见费等全部费用</w:t>
      </w:r>
      <w:r>
        <w:rPr>
          <w:rFonts w:hint="eastAsia" w:ascii="宋体" w:hAnsi="宋体" w:cs="宋体"/>
          <w:kern w:val="0"/>
          <w:sz w:val="21"/>
          <w:szCs w:val="21"/>
          <w:lang w:val="zh-CN"/>
        </w:rPr>
        <w:t>。</w:t>
      </w:r>
    </w:p>
    <w:p w14:paraId="691953B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8.2</w:t>
      </w:r>
      <w:r>
        <w:rPr>
          <w:rFonts w:hint="eastAsia" w:ascii="宋体" w:hAnsi="宋体" w:cs="宋体"/>
          <w:kern w:val="0"/>
          <w:sz w:val="21"/>
          <w:szCs w:val="21"/>
        </w:rPr>
        <w:t xml:space="preserve"> </w:t>
      </w:r>
      <w:r>
        <w:rPr>
          <w:rFonts w:hint="eastAsia" w:ascii="宋体" w:hAnsi="宋体" w:cs="宋体"/>
          <w:kern w:val="0"/>
          <w:sz w:val="21"/>
          <w:szCs w:val="21"/>
          <w:lang w:val="zh-CN"/>
        </w:rPr>
        <w:t>投标报价有效期与投标有效期一致。</w:t>
      </w:r>
    </w:p>
    <w:p w14:paraId="509C0C8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8.</w:t>
      </w:r>
      <w:r>
        <w:rPr>
          <w:rFonts w:hint="eastAsia" w:ascii="宋体" w:hAnsi="宋体" w:cs="宋体"/>
          <w:kern w:val="0"/>
          <w:sz w:val="21"/>
          <w:szCs w:val="21"/>
        </w:rPr>
        <w:t xml:space="preserve">3 </w:t>
      </w:r>
      <w:r>
        <w:rPr>
          <w:rFonts w:hint="eastAsia" w:ascii="宋体" w:hAnsi="宋体" w:cs="宋体"/>
          <w:kern w:val="0"/>
          <w:sz w:val="21"/>
          <w:szCs w:val="21"/>
          <w:lang w:val="zh-CN"/>
        </w:rPr>
        <w:t>投标报价为最终价，即中标后在合同有效期内价格不变。</w:t>
      </w:r>
    </w:p>
    <w:p w14:paraId="0F5F0F6D">
      <w:pPr>
        <w:spacing w:line="360" w:lineRule="auto"/>
        <w:outlineLvl w:val="2"/>
        <w:rPr>
          <w:rFonts w:ascii="宋体" w:hAnsi="宋体" w:cs="宋体"/>
          <w:b/>
          <w:bCs/>
          <w:sz w:val="21"/>
          <w:szCs w:val="21"/>
          <w:lang w:val="zh-CN"/>
        </w:rPr>
      </w:pPr>
      <w:bookmarkStart w:id="341" w:name="_Toc7706"/>
      <w:bookmarkStart w:id="342" w:name="_Toc1039"/>
      <w:r>
        <w:rPr>
          <w:rFonts w:hint="eastAsia" w:ascii="宋体" w:hAnsi="宋体" w:cs="宋体"/>
          <w:b/>
          <w:bCs/>
          <w:sz w:val="21"/>
          <w:szCs w:val="21"/>
          <w:lang w:val="zh-CN"/>
        </w:rPr>
        <w:t>9、投标保证金</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52488D3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本项目不收取。</w:t>
      </w:r>
    </w:p>
    <w:p w14:paraId="6D3A1103">
      <w:pPr>
        <w:spacing w:line="360" w:lineRule="auto"/>
        <w:outlineLvl w:val="2"/>
        <w:rPr>
          <w:rFonts w:ascii="宋体" w:hAnsi="宋体" w:cs="宋体"/>
          <w:b/>
          <w:bCs/>
          <w:sz w:val="21"/>
          <w:szCs w:val="21"/>
          <w:lang w:val="zh-CN"/>
        </w:rPr>
      </w:pPr>
      <w:bookmarkStart w:id="343" w:name="_Toc13276"/>
      <w:bookmarkStart w:id="344" w:name="_Toc25081"/>
      <w:bookmarkStart w:id="345" w:name="_Toc17539"/>
      <w:bookmarkStart w:id="346" w:name="_Toc1867"/>
      <w:bookmarkStart w:id="347" w:name="_Toc17745"/>
      <w:bookmarkStart w:id="348" w:name="_Toc16882"/>
      <w:bookmarkStart w:id="349" w:name="_Toc19671"/>
      <w:bookmarkStart w:id="350" w:name="_Toc4186"/>
      <w:bookmarkStart w:id="351" w:name="_Toc13943"/>
      <w:bookmarkStart w:id="352" w:name="_Toc28152"/>
      <w:bookmarkStart w:id="353" w:name="_Toc17102"/>
      <w:bookmarkStart w:id="354" w:name="_Toc10743"/>
      <w:bookmarkStart w:id="355" w:name="_Toc10148"/>
      <w:bookmarkStart w:id="356" w:name="_Toc25383"/>
      <w:bookmarkStart w:id="357" w:name="_Toc18779_WPSOffice_Level3"/>
      <w:bookmarkStart w:id="358" w:name="_Toc7288"/>
      <w:bookmarkStart w:id="359" w:name="_Toc25386"/>
      <w:bookmarkStart w:id="360" w:name="_Toc31621"/>
      <w:bookmarkStart w:id="361" w:name="_Toc21429"/>
      <w:bookmarkStart w:id="362" w:name="_Toc4139"/>
      <w:bookmarkStart w:id="363" w:name="_Toc25800"/>
      <w:r>
        <w:rPr>
          <w:rFonts w:hint="eastAsia" w:ascii="宋体" w:hAnsi="宋体" w:cs="宋体"/>
          <w:b/>
          <w:bCs/>
          <w:sz w:val="21"/>
          <w:szCs w:val="21"/>
          <w:lang w:val="zh-CN"/>
        </w:rPr>
        <w:t>10、投标有效期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64D9424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sz w:val="21"/>
          <w:szCs w:val="21"/>
          <w:shd w:val="clear" w:color="auto" w:fill="FFFFFF"/>
        </w:rPr>
        <w:t>从提交投标文件的截止之日起</w:t>
      </w:r>
      <w:r>
        <w:rPr>
          <w:rFonts w:hint="eastAsia" w:ascii="宋体" w:hAnsi="宋体" w:cs="宋体"/>
          <w:sz w:val="21"/>
          <w:szCs w:val="21"/>
          <w:shd w:val="clear" w:color="auto" w:fill="FFFFFF"/>
          <w:lang w:val="zh-CN"/>
        </w:rPr>
        <w:t>90日历</w:t>
      </w:r>
      <w:r>
        <w:rPr>
          <w:rFonts w:hint="eastAsia" w:ascii="宋体" w:hAnsi="宋体" w:cs="宋体"/>
          <w:kern w:val="0"/>
          <w:sz w:val="21"/>
          <w:szCs w:val="21"/>
          <w:lang w:val="zh-CN"/>
        </w:rPr>
        <w:t>天。投标文件中承诺的投标有效期应当不少于招标文件中载明的投标有效期。</w:t>
      </w:r>
    </w:p>
    <w:p w14:paraId="26451706">
      <w:pPr>
        <w:spacing w:line="360" w:lineRule="auto"/>
        <w:outlineLvl w:val="2"/>
        <w:rPr>
          <w:rFonts w:ascii="宋体" w:hAnsi="宋体" w:cs="宋体"/>
          <w:b/>
          <w:bCs/>
          <w:sz w:val="21"/>
          <w:szCs w:val="21"/>
          <w:lang w:val="zh-CN"/>
        </w:rPr>
      </w:pPr>
      <w:bookmarkStart w:id="364" w:name="_Toc31280"/>
      <w:bookmarkStart w:id="365" w:name="_Toc29318"/>
      <w:bookmarkStart w:id="366" w:name="_Toc5436"/>
      <w:bookmarkStart w:id="367" w:name="_Toc7842"/>
      <w:bookmarkStart w:id="368" w:name="_Toc3787"/>
      <w:bookmarkStart w:id="369" w:name="_Toc22558"/>
      <w:bookmarkStart w:id="370" w:name="_Toc11981"/>
      <w:bookmarkStart w:id="371" w:name="_Toc30439"/>
      <w:bookmarkStart w:id="372" w:name="_Toc8803"/>
      <w:bookmarkStart w:id="373" w:name="_Toc31858"/>
      <w:bookmarkStart w:id="374" w:name="_Toc28856"/>
      <w:bookmarkStart w:id="375" w:name="_Toc21798"/>
      <w:bookmarkStart w:id="376" w:name="_Toc29202"/>
      <w:bookmarkStart w:id="377" w:name="_Toc31868"/>
      <w:bookmarkStart w:id="378" w:name="_Toc12824"/>
      <w:bookmarkStart w:id="379" w:name="_Toc6969"/>
      <w:bookmarkStart w:id="380" w:name="_Toc537"/>
      <w:bookmarkStart w:id="381" w:name="_Toc31009_WPSOffice_Level3"/>
      <w:bookmarkStart w:id="382" w:name="_Toc10951"/>
      <w:bookmarkStart w:id="383" w:name="_Toc28786"/>
      <w:bookmarkStart w:id="384" w:name="_Toc23990"/>
      <w:r>
        <w:rPr>
          <w:rFonts w:hint="eastAsia" w:ascii="宋体" w:hAnsi="宋体" w:cs="宋体"/>
          <w:b/>
          <w:bCs/>
          <w:sz w:val="21"/>
          <w:szCs w:val="21"/>
          <w:lang w:val="zh-CN"/>
        </w:rPr>
        <w:t>11、投标文件构成</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54C1A2CF">
      <w:pPr>
        <w:spacing w:line="360" w:lineRule="auto"/>
        <w:ind w:firstLine="420" w:firstLineChars="200"/>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 xml:space="preserve">应参照第四部分投标文件格式，按以下要求内容和顺序编制、提交文件： </w:t>
      </w:r>
    </w:p>
    <w:p w14:paraId="72AD3BD9">
      <w:pPr>
        <w:spacing w:line="360" w:lineRule="auto"/>
        <w:ind w:firstLine="420" w:firstLineChars="200"/>
        <w:rPr>
          <w:rFonts w:ascii="宋体" w:hAnsi="宋体" w:cs="宋体"/>
          <w:sz w:val="21"/>
          <w:szCs w:val="21"/>
        </w:rPr>
      </w:pPr>
      <w:r>
        <w:rPr>
          <w:rFonts w:hint="eastAsia" w:ascii="宋体" w:hAnsi="宋体" w:cs="宋体"/>
          <w:sz w:val="21"/>
          <w:szCs w:val="21"/>
        </w:rPr>
        <w:t xml:space="preserve">（1）投标函； </w:t>
      </w:r>
    </w:p>
    <w:p w14:paraId="20D7C2CB">
      <w:pPr>
        <w:spacing w:line="360" w:lineRule="auto"/>
        <w:ind w:firstLine="420" w:firstLineChars="200"/>
        <w:rPr>
          <w:rFonts w:ascii="宋体" w:hAnsi="宋体" w:cs="宋体"/>
          <w:sz w:val="21"/>
          <w:szCs w:val="21"/>
        </w:rPr>
      </w:pPr>
      <w:r>
        <w:rPr>
          <w:rFonts w:hint="eastAsia" w:ascii="宋体" w:hAnsi="宋体" w:cs="宋体"/>
          <w:sz w:val="21"/>
          <w:szCs w:val="21"/>
        </w:rPr>
        <w:t>（2）开标一览表；</w:t>
      </w:r>
    </w:p>
    <w:p w14:paraId="1025CC64">
      <w:pPr>
        <w:spacing w:line="360" w:lineRule="auto"/>
        <w:ind w:firstLine="420" w:firstLineChars="200"/>
        <w:rPr>
          <w:rFonts w:ascii="宋体" w:hAnsi="宋体" w:cs="宋体"/>
          <w:sz w:val="21"/>
          <w:szCs w:val="21"/>
        </w:rPr>
      </w:pPr>
      <w:r>
        <w:rPr>
          <w:rFonts w:hint="eastAsia" w:ascii="宋体" w:hAnsi="宋体" w:cs="宋体"/>
          <w:sz w:val="21"/>
          <w:szCs w:val="21"/>
        </w:rPr>
        <w:t>（3）法定代表人身份证明和授权委托书；</w:t>
      </w:r>
    </w:p>
    <w:p w14:paraId="504467B9">
      <w:pPr>
        <w:spacing w:line="360" w:lineRule="auto"/>
        <w:ind w:firstLine="420" w:firstLineChars="200"/>
        <w:rPr>
          <w:rFonts w:ascii="宋体" w:hAnsi="宋体" w:cs="宋体"/>
          <w:sz w:val="21"/>
          <w:szCs w:val="21"/>
        </w:rPr>
      </w:pPr>
      <w:r>
        <w:rPr>
          <w:rFonts w:hint="eastAsia" w:ascii="宋体" w:hAnsi="宋体" w:cs="宋体"/>
          <w:sz w:val="21"/>
          <w:szCs w:val="21"/>
        </w:rPr>
        <w:t>（4）投标货物分项报价表；</w:t>
      </w:r>
    </w:p>
    <w:p w14:paraId="1555EBD6">
      <w:pPr>
        <w:spacing w:line="360" w:lineRule="auto"/>
        <w:ind w:firstLine="420" w:firstLineChars="200"/>
        <w:rPr>
          <w:rFonts w:ascii="宋体" w:hAnsi="宋体" w:cs="宋体"/>
          <w:sz w:val="21"/>
          <w:szCs w:val="21"/>
        </w:rPr>
      </w:pPr>
      <w:r>
        <w:rPr>
          <w:rFonts w:hint="eastAsia" w:ascii="宋体" w:hAnsi="宋体" w:cs="宋体"/>
          <w:sz w:val="21"/>
          <w:szCs w:val="21"/>
        </w:rPr>
        <w:t>（5）技术参数响应/偏离表；</w:t>
      </w:r>
    </w:p>
    <w:p w14:paraId="3389415B">
      <w:pPr>
        <w:spacing w:line="360" w:lineRule="auto"/>
        <w:ind w:firstLine="420" w:firstLineChars="200"/>
        <w:rPr>
          <w:rFonts w:ascii="宋体" w:hAnsi="宋体" w:cs="宋体"/>
          <w:sz w:val="21"/>
          <w:szCs w:val="21"/>
        </w:rPr>
      </w:pPr>
      <w:r>
        <w:rPr>
          <w:rFonts w:hint="eastAsia" w:ascii="宋体" w:hAnsi="宋体" w:cs="宋体"/>
          <w:sz w:val="21"/>
          <w:szCs w:val="21"/>
        </w:rPr>
        <w:t>（6）项目实施方案；</w:t>
      </w:r>
    </w:p>
    <w:p w14:paraId="5FC56974">
      <w:pPr>
        <w:spacing w:line="360" w:lineRule="auto"/>
        <w:ind w:firstLine="420" w:firstLineChars="200"/>
        <w:rPr>
          <w:rFonts w:ascii="宋体" w:hAnsi="宋体" w:cs="宋体"/>
          <w:sz w:val="21"/>
          <w:szCs w:val="21"/>
        </w:rPr>
      </w:pPr>
      <w:r>
        <w:rPr>
          <w:rFonts w:hint="eastAsia" w:ascii="宋体" w:hAnsi="宋体" w:cs="宋体"/>
          <w:sz w:val="21"/>
          <w:szCs w:val="21"/>
        </w:rPr>
        <w:t>（7）服务方案及服务承诺；</w:t>
      </w:r>
    </w:p>
    <w:p w14:paraId="43E4D71F">
      <w:pPr>
        <w:spacing w:line="360" w:lineRule="auto"/>
        <w:ind w:firstLine="420" w:firstLineChars="200"/>
        <w:rPr>
          <w:rFonts w:ascii="宋体" w:hAnsi="宋体" w:cs="宋体"/>
          <w:sz w:val="21"/>
          <w:szCs w:val="21"/>
        </w:rPr>
      </w:pPr>
      <w:r>
        <w:rPr>
          <w:rFonts w:hint="eastAsia" w:ascii="宋体" w:hAnsi="宋体" w:cs="宋体"/>
          <w:sz w:val="21"/>
          <w:szCs w:val="21"/>
        </w:rPr>
        <w:t>（8）资格证明文件；</w:t>
      </w:r>
    </w:p>
    <w:p w14:paraId="325471E3">
      <w:pPr>
        <w:spacing w:line="360" w:lineRule="auto"/>
        <w:ind w:firstLine="420" w:firstLineChars="200"/>
        <w:rPr>
          <w:rFonts w:ascii="宋体" w:hAnsi="宋体" w:cs="宋体"/>
          <w:sz w:val="21"/>
          <w:szCs w:val="21"/>
        </w:rPr>
      </w:pPr>
      <w:r>
        <w:rPr>
          <w:rFonts w:hint="eastAsia" w:ascii="宋体" w:hAnsi="宋体" w:cs="宋体"/>
          <w:sz w:val="21"/>
          <w:szCs w:val="21"/>
        </w:rPr>
        <w:t>（9）招标代理费支付承诺；</w:t>
      </w:r>
    </w:p>
    <w:p w14:paraId="536DD1E2">
      <w:pPr>
        <w:spacing w:line="360" w:lineRule="auto"/>
        <w:ind w:firstLine="420" w:firstLineChars="200"/>
        <w:rPr>
          <w:rFonts w:ascii="宋体" w:hAnsi="宋体" w:cs="宋体"/>
          <w:sz w:val="21"/>
          <w:szCs w:val="21"/>
        </w:rPr>
      </w:pPr>
      <w:r>
        <w:rPr>
          <w:rFonts w:hint="eastAsia" w:ascii="宋体" w:hAnsi="宋体" w:cs="宋体"/>
          <w:sz w:val="21"/>
          <w:szCs w:val="21"/>
        </w:rPr>
        <w:t>（10）投标承诺函；</w:t>
      </w:r>
    </w:p>
    <w:p w14:paraId="55ADF5B4">
      <w:pPr>
        <w:spacing w:line="360" w:lineRule="auto"/>
        <w:ind w:firstLine="420" w:firstLineChars="200"/>
        <w:rPr>
          <w:rFonts w:ascii="宋体" w:hAnsi="宋体" w:cs="宋体"/>
          <w:sz w:val="21"/>
          <w:szCs w:val="21"/>
        </w:rPr>
      </w:pPr>
      <w:r>
        <w:rPr>
          <w:rFonts w:hint="eastAsia" w:ascii="宋体" w:hAnsi="宋体" w:cs="宋体"/>
          <w:sz w:val="21"/>
          <w:szCs w:val="21"/>
        </w:rPr>
        <w:t>（11）其他资料；</w:t>
      </w:r>
    </w:p>
    <w:p w14:paraId="56419E4D">
      <w:pPr>
        <w:autoSpaceDE w:val="0"/>
        <w:autoSpaceDN w:val="0"/>
        <w:spacing w:line="360" w:lineRule="auto"/>
        <w:ind w:firstLine="525" w:firstLineChars="250"/>
        <w:rPr>
          <w:rFonts w:ascii="宋体" w:hAnsi="宋体" w:cs="宋体"/>
          <w:kern w:val="0"/>
          <w:sz w:val="21"/>
          <w:szCs w:val="21"/>
          <w:lang w:val="zh-CN"/>
        </w:rPr>
      </w:pPr>
      <w:r>
        <w:rPr>
          <w:rFonts w:hint="eastAsia" w:ascii="宋体" w:hAnsi="宋体" w:cs="宋体"/>
          <w:kern w:val="0"/>
          <w:sz w:val="21"/>
          <w:szCs w:val="21"/>
          <w:lang w:val="zh-CN"/>
        </w:rPr>
        <w:t>备注：供应商必须按上述内容、顺序和格式编制投标文件，并按要求编制目录、页码，并保证所提供的全部资料真实可信，自愿承担相应责任。</w:t>
      </w:r>
      <w:r>
        <w:rPr>
          <w:rFonts w:hint="eastAsia" w:ascii="宋体" w:hAnsi="宋体" w:cs="宋体"/>
          <w:sz w:val="21"/>
          <w:szCs w:val="21"/>
        </w:rPr>
        <w:t>投标文件</w:t>
      </w:r>
      <w:r>
        <w:rPr>
          <w:rFonts w:hint="eastAsia" w:ascii="宋体" w:hAnsi="宋体" w:cs="宋体"/>
          <w:kern w:val="0"/>
          <w:sz w:val="21"/>
          <w:szCs w:val="21"/>
        </w:rPr>
        <w:t>如存在内容不完整或者字迹模糊难以辨认，评标委员会无法准确判定该项材料的有效性时，将认定按照该项材料不合格。</w:t>
      </w:r>
    </w:p>
    <w:p w14:paraId="26E47930">
      <w:pPr>
        <w:spacing w:line="360" w:lineRule="auto"/>
        <w:outlineLvl w:val="2"/>
        <w:rPr>
          <w:rFonts w:ascii="宋体" w:hAnsi="宋体" w:cs="宋体"/>
          <w:b/>
          <w:bCs/>
          <w:sz w:val="21"/>
          <w:szCs w:val="21"/>
          <w:lang w:val="zh-CN"/>
        </w:rPr>
      </w:pPr>
      <w:bookmarkStart w:id="385" w:name="_Toc18935"/>
      <w:bookmarkStart w:id="386" w:name="_Toc27156"/>
      <w:bookmarkStart w:id="387" w:name="_Toc30817"/>
      <w:bookmarkStart w:id="388" w:name="_Toc799"/>
      <w:bookmarkStart w:id="389" w:name="_Toc4251_WPSOffice_Level3"/>
      <w:bookmarkStart w:id="390" w:name="_Toc25301"/>
      <w:bookmarkStart w:id="391" w:name="_Toc29354"/>
      <w:bookmarkStart w:id="392" w:name="_Toc7890"/>
      <w:bookmarkStart w:id="393" w:name="_Toc27961"/>
      <w:bookmarkStart w:id="394" w:name="_Toc12267"/>
      <w:bookmarkStart w:id="395" w:name="_Toc8183"/>
      <w:bookmarkStart w:id="396" w:name="_Toc19738"/>
      <w:bookmarkStart w:id="397" w:name="_Toc6014"/>
      <w:bookmarkStart w:id="398" w:name="_Toc30259"/>
      <w:bookmarkStart w:id="399" w:name="_Toc5792"/>
      <w:bookmarkStart w:id="400" w:name="_Toc11014"/>
      <w:bookmarkStart w:id="401" w:name="_Toc11602"/>
      <w:bookmarkStart w:id="402" w:name="_Toc8892"/>
      <w:bookmarkStart w:id="403" w:name="_Toc16352"/>
      <w:bookmarkStart w:id="404" w:name="_Toc27584"/>
      <w:bookmarkStart w:id="405" w:name="_Toc8084"/>
      <w:r>
        <w:rPr>
          <w:rFonts w:hint="eastAsia" w:ascii="宋体" w:hAnsi="宋体" w:cs="宋体"/>
          <w:b/>
          <w:bCs/>
          <w:sz w:val="21"/>
          <w:szCs w:val="21"/>
          <w:lang w:val="zh-CN"/>
        </w:rPr>
        <w:t>12、投标文件的编制要求</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344A65B3">
      <w:pPr>
        <w:autoSpaceDE w:val="0"/>
        <w:autoSpaceDN w:val="0"/>
        <w:spacing w:line="360" w:lineRule="auto"/>
        <w:ind w:firstLine="420" w:firstLineChars="200"/>
        <w:rPr>
          <w:rFonts w:ascii="宋体" w:hAnsi="宋体" w:cs="宋体"/>
          <w:sz w:val="21"/>
          <w:szCs w:val="21"/>
        </w:rPr>
      </w:pPr>
      <w:r>
        <w:rPr>
          <w:rFonts w:hint="eastAsia" w:ascii="宋体" w:hAnsi="宋体" w:cs="宋体"/>
          <w:kern w:val="0"/>
          <w:sz w:val="21"/>
          <w:szCs w:val="21"/>
          <w:lang w:val="zh-CN"/>
        </w:rPr>
        <w:t>12.1</w:t>
      </w:r>
      <w:r>
        <w:rPr>
          <w:rFonts w:hint="eastAsia" w:ascii="宋体" w:hAnsi="宋体" w:cs="宋体"/>
          <w:kern w:val="0"/>
          <w:sz w:val="21"/>
          <w:szCs w:val="21"/>
        </w:rPr>
        <w:t xml:space="preserve"> </w:t>
      </w:r>
      <w:r>
        <w:rPr>
          <w:rFonts w:hint="eastAsia" w:ascii="宋体" w:hAnsi="宋体" w:cs="宋体"/>
          <w:kern w:val="0"/>
          <w:sz w:val="21"/>
          <w:szCs w:val="21"/>
          <w:lang w:val="zh-CN"/>
        </w:rPr>
        <w:t>供应商应按照招标文件所提供的投标文件格式，分别填写招标文件第四部分的内容，应分别注明所提供产品的名称、技术配置及参数、数量和价格等内容</w:t>
      </w:r>
      <w:r>
        <w:rPr>
          <w:rFonts w:hint="eastAsia" w:ascii="宋体" w:hAnsi="宋体" w:cs="宋体"/>
          <w:sz w:val="21"/>
          <w:szCs w:val="21"/>
        </w:rPr>
        <w:t>。</w:t>
      </w:r>
    </w:p>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14:paraId="35881139">
      <w:pPr>
        <w:pStyle w:val="4"/>
        <w:ind w:firstLine="422"/>
        <w:jc w:val="center"/>
        <w:rPr>
          <w:rFonts w:ascii="宋体" w:hAnsi="宋体" w:cs="宋体"/>
          <w:sz w:val="21"/>
          <w:szCs w:val="21"/>
          <w:lang w:val="zh-CN"/>
        </w:rPr>
      </w:pPr>
      <w:bookmarkStart w:id="406" w:name="_Toc4856"/>
      <w:bookmarkStart w:id="407" w:name="_Toc1477"/>
      <w:bookmarkStart w:id="408" w:name="_Toc20469_WPSOffice_Level2"/>
      <w:bookmarkStart w:id="409" w:name="_Toc29305"/>
      <w:bookmarkStart w:id="410" w:name="_Toc2084"/>
      <w:bookmarkStart w:id="411" w:name="_Toc32294"/>
      <w:bookmarkStart w:id="412" w:name="_Toc17709"/>
      <w:bookmarkStart w:id="413" w:name="_Toc31009_WPSOffice_Level2"/>
      <w:bookmarkStart w:id="414" w:name="_Toc6758"/>
      <w:bookmarkStart w:id="415" w:name="_Toc24831"/>
      <w:bookmarkStart w:id="416" w:name="_Toc25461"/>
      <w:bookmarkStart w:id="417" w:name="_Toc15982"/>
      <w:bookmarkStart w:id="418" w:name="_Toc18593"/>
      <w:bookmarkStart w:id="419" w:name="_Toc6508"/>
      <w:bookmarkStart w:id="420" w:name="_Toc29613"/>
      <w:bookmarkStart w:id="421" w:name="_Toc10217"/>
      <w:bookmarkStart w:id="422" w:name="_Toc31566"/>
      <w:bookmarkStart w:id="423" w:name="_Toc29124"/>
      <w:bookmarkStart w:id="424" w:name="_Toc32092"/>
      <w:bookmarkStart w:id="425" w:name="_Toc22338"/>
      <w:bookmarkStart w:id="426" w:name="_Toc1836"/>
      <w:bookmarkStart w:id="427" w:name="_Toc32148"/>
      <w:bookmarkStart w:id="428" w:name="_Toc5404"/>
      <w:bookmarkStart w:id="429" w:name="_Toc1279"/>
      <w:r>
        <w:rPr>
          <w:rFonts w:hint="eastAsia" w:ascii="宋体" w:hAnsi="宋体" w:cs="宋体"/>
          <w:sz w:val="21"/>
          <w:szCs w:val="21"/>
          <w:lang w:val="zh-CN"/>
        </w:rPr>
        <w:t>四、投标文件的提交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39D6DFD0">
      <w:pPr>
        <w:spacing w:line="360" w:lineRule="auto"/>
        <w:outlineLvl w:val="2"/>
        <w:rPr>
          <w:rFonts w:ascii="宋体" w:hAnsi="宋体" w:cs="宋体"/>
          <w:b/>
          <w:bCs/>
          <w:sz w:val="21"/>
          <w:szCs w:val="21"/>
          <w:lang w:val="zh-CN"/>
        </w:rPr>
      </w:pPr>
      <w:bookmarkStart w:id="430" w:name="_Toc10680"/>
      <w:bookmarkStart w:id="431" w:name="_Toc2322"/>
      <w:bookmarkStart w:id="432" w:name="_Toc22172"/>
      <w:bookmarkStart w:id="433" w:name="_Toc6767"/>
      <w:bookmarkStart w:id="434" w:name="_Toc23866"/>
      <w:bookmarkStart w:id="435" w:name="_Toc30776"/>
      <w:bookmarkStart w:id="436" w:name="_Toc6216"/>
      <w:bookmarkStart w:id="437" w:name="_Toc13424"/>
      <w:bookmarkStart w:id="438" w:name="_Toc15700"/>
      <w:bookmarkStart w:id="439" w:name="_Toc15957"/>
      <w:bookmarkStart w:id="440" w:name="_Toc30044"/>
      <w:bookmarkStart w:id="441" w:name="_Toc28927"/>
      <w:bookmarkStart w:id="442" w:name="_Toc26032"/>
      <w:bookmarkStart w:id="443" w:name="_Toc18640"/>
      <w:bookmarkStart w:id="444" w:name="_Toc9327"/>
      <w:bookmarkStart w:id="445" w:name="_Toc14723"/>
      <w:bookmarkStart w:id="446" w:name="_Toc17214"/>
      <w:bookmarkStart w:id="447" w:name="_Toc10738"/>
      <w:bookmarkStart w:id="448" w:name="_Toc2974"/>
      <w:bookmarkStart w:id="449" w:name="_Toc3510_WPSOffice_Level3"/>
      <w:bookmarkStart w:id="450" w:name="_Toc23335"/>
      <w:bookmarkStart w:id="451" w:name="_Toc7233"/>
      <w:bookmarkStart w:id="452" w:name="_Toc19916"/>
      <w:bookmarkStart w:id="453" w:name="_Toc8695"/>
      <w:bookmarkStart w:id="454" w:name="_Toc22935"/>
      <w:bookmarkStart w:id="455" w:name="_Toc12284"/>
      <w:bookmarkStart w:id="456" w:name="_Toc31826"/>
      <w:bookmarkStart w:id="457" w:name="_Toc22763_WPSOffice_Level2"/>
      <w:bookmarkStart w:id="458" w:name="_Toc22589"/>
      <w:bookmarkStart w:id="459" w:name="_Toc27015"/>
      <w:bookmarkStart w:id="460" w:name="_Toc24689"/>
      <w:bookmarkStart w:id="461" w:name="_Toc31690"/>
      <w:bookmarkStart w:id="462" w:name="_Toc13707"/>
      <w:bookmarkStart w:id="463" w:name="_Toc4251_WPSOffice_Level2"/>
      <w:bookmarkStart w:id="464" w:name="_Toc1040"/>
      <w:bookmarkStart w:id="465" w:name="_Toc3502"/>
      <w:bookmarkStart w:id="466" w:name="_Toc162"/>
      <w:bookmarkStart w:id="467" w:name="_Toc23700"/>
      <w:bookmarkStart w:id="468" w:name="_Toc10685"/>
      <w:bookmarkStart w:id="469" w:name="_Toc4889"/>
      <w:bookmarkStart w:id="470" w:name="_Toc15896"/>
      <w:bookmarkStart w:id="471" w:name="_Toc17783"/>
      <w:bookmarkStart w:id="472" w:name="_Toc30115"/>
      <w:bookmarkStart w:id="473" w:name="_Toc19644"/>
      <w:r>
        <w:rPr>
          <w:rFonts w:hint="eastAsia" w:ascii="宋体" w:hAnsi="宋体" w:cs="宋体"/>
          <w:b/>
          <w:bCs/>
          <w:sz w:val="21"/>
          <w:szCs w:val="21"/>
          <w:lang w:val="zh-CN"/>
        </w:rPr>
        <w:t>13、</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hint="eastAsia" w:ascii="宋体" w:hAnsi="宋体" w:cs="宋体"/>
          <w:b/>
          <w:bCs/>
          <w:sz w:val="21"/>
          <w:szCs w:val="21"/>
          <w:lang w:val="zh-CN"/>
        </w:rPr>
        <w:t>电子化投标文件的格式及上传投标</w:t>
      </w:r>
      <w:bookmarkEnd w:id="450"/>
      <w:bookmarkEnd w:id="451"/>
      <w:r>
        <w:rPr>
          <w:rFonts w:hint="eastAsia" w:ascii="宋体" w:hAnsi="宋体" w:cs="宋体"/>
          <w:b/>
          <w:bCs/>
          <w:sz w:val="21"/>
          <w:szCs w:val="21"/>
          <w:lang w:val="zh-CN"/>
        </w:rPr>
        <w:t xml:space="preserve"> </w:t>
      </w:r>
    </w:p>
    <w:p w14:paraId="6B986528">
      <w:pPr>
        <w:autoSpaceDE w:val="0"/>
        <w:autoSpaceDN w:val="0"/>
        <w:spacing w:line="360" w:lineRule="auto"/>
        <w:ind w:firstLine="420" w:firstLineChars="200"/>
        <w:rPr>
          <w:rFonts w:ascii="宋体" w:hAnsi="宋体" w:cs="宋体"/>
          <w:kern w:val="0"/>
          <w:sz w:val="21"/>
          <w:szCs w:val="21"/>
          <w:lang w:val="zh-CN"/>
        </w:rPr>
      </w:pPr>
      <w:bookmarkStart w:id="474" w:name="_Toc31024"/>
      <w:bookmarkStart w:id="475" w:name="_Toc13986"/>
      <w:bookmarkStart w:id="476" w:name="_Toc847"/>
      <w:bookmarkStart w:id="477" w:name="_Toc32718"/>
      <w:bookmarkStart w:id="478" w:name="_Toc9546"/>
      <w:bookmarkStart w:id="479" w:name="_Toc23078"/>
      <w:bookmarkStart w:id="480" w:name="_Toc30952"/>
      <w:bookmarkStart w:id="481" w:name="_Toc15457355"/>
      <w:bookmarkStart w:id="482" w:name="_Toc15462"/>
      <w:bookmarkStart w:id="483" w:name="_Toc10227"/>
      <w:bookmarkStart w:id="484" w:name="_Toc30978"/>
      <w:bookmarkStart w:id="485" w:name="_Toc955"/>
      <w:bookmarkStart w:id="486" w:name="_Toc9653"/>
      <w:bookmarkStart w:id="487" w:name="_Toc14200"/>
      <w:bookmarkStart w:id="488" w:name="_Toc2946"/>
      <w:bookmarkStart w:id="489" w:name="_Toc30590"/>
      <w:bookmarkStart w:id="490" w:name="_Toc25597_WPSOffice_Level3"/>
      <w:bookmarkStart w:id="491" w:name="_Toc15261"/>
      <w:bookmarkStart w:id="492" w:name="_Toc30547"/>
      <w:bookmarkStart w:id="493" w:name="_Toc29988"/>
      <w:bookmarkStart w:id="494" w:name="_Toc25571"/>
      <w:r>
        <w:rPr>
          <w:rFonts w:hint="eastAsia" w:ascii="宋体" w:hAnsi="宋体" w:cs="宋体"/>
          <w:kern w:val="0"/>
          <w:sz w:val="21"/>
          <w:szCs w:val="21"/>
          <w:lang w:val="zh-CN"/>
        </w:rPr>
        <w:t>13.1本项目为电子化交易项目，投标文件是供应商、供应商（以下简称“供应商”）通过中心投标文件制作系统制作，并经过电子签章和加密后生成的电子版投标文件。供应商投标时，需要上传电子版投标文件。</w:t>
      </w:r>
    </w:p>
    <w:p w14:paraId="4B70BF4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电子化投标文件具体制作教材请供应商通过CA证书登录平顶山市公共资源电子化交易网在 “组件下载”中查看。</w:t>
      </w:r>
    </w:p>
    <w:p w14:paraId="5C277076">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温馨提示：本项目为电子化交易项目，开标时需上传电子版投标文件，为保证您能投标成功，请需仔细阅读以下条款。</w:t>
      </w:r>
    </w:p>
    <w:p w14:paraId="796F581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13.1.1电子化投标文件的签章</w:t>
      </w:r>
    </w:p>
    <w:p w14:paraId="0BC9708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（1）供应商在生成电子化投标文件后，应对电子化投标文件进行签章，未进行签章的视为无效投标。</w:t>
      </w:r>
    </w:p>
    <w:p w14:paraId="4A9D0C5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招标文件中要求法定代表人或授权委托人签字或盖章的，供应商在进行电子化投标文件签章时，以签盖法定代表人签章为准。电子化投标文件具体制作教材请供应商通过CA证书登录平顶山市公共资源电子化交易网在右上角“组建下载”中查看。</w:t>
      </w:r>
    </w:p>
    <w:p w14:paraId="38C1EFC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13.1.2电子化投标文件的格式及上传投标</w:t>
      </w:r>
    </w:p>
    <w:p w14:paraId="5E5E325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供应商所上传的电子化投标文件，应是通过中心投标文件制作系统制作的，经过签章和加密后生成的电子版投标文件。生成的电子版投标文件包含用于投标文件上传的主文件（文件格式为：xxx公司+项目编号.file）和用于应急补救的投标文件备份文件（文件格式为：xxx公司+项目编号.bin），备份文件主要用于电子化开标出现技术问题后的补救，请供应商随身携带。</w:t>
      </w:r>
    </w:p>
    <w:p w14:paraId="58FC51F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注：供应商投报多个标段的，所生成的电子化投标文件仍为一个电子文件，供应商制作电子化投标文件时应将所报标段全部勾选后制作生成。</w:t>
      </w:r>
    </w:p>
    <w:p w14:paraId="1D9C403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（2）电子化投标文件应在投标截止时间前成功上传至平顶山市公共资源电子化交易系统。至投标截止时间止，仍未上传成功的电子化投标文件将不予接收。</w:t>
      </w:r>
    </w:p>
    <w:p w14:paraId="747201F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0B4826E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13.1.3电子化项目开标、解密、唱标、评标</w:t>
      </w:r>
    </w:p>
    <w:p w14:paraId="416E281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（1）电子化项目开标、解密、唱标详见本章16.3不见面开标程序。</w:t>
      </w:r>
    </w:p>
    <w:p w14:paraId="3BA8AF6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（2）评标时，评标委员会对电子化投标文件有质疑的，将通过电子化交易系统对供应商发起质疑。</w:t>
      </w:r>
    </w:p>
    <w:p w14:paraId="26A665A9">
      <w:pPr>
        <w:spacing w:line="360" w:lineRule="auto"/>
        <w:outlineLvl w:val="2"/>
        <w:rPr>
          <w:rFonts w:ascii="宋体" w:hAnsi="宋体" w:cs="宋体"/>
          <w:b/>
          <w:bCs/>
          <w:sz w:val="21"/>
          <w:szCs w:val="21"/>
          <w:lang w:val="zh-CN"/>
        </w:rPr>
      </w:pPr>
      <w:bookmarkStart w:id="495" w:name="_Toc30702"/>
      <w:bookmarkStart w:id="496" w:name="_Toc985"/>
      <w:r>
        <w:rPr>
          <w:rFonts w:hint="eastAsia" w:ascii="宋体" w:hAnsi="宋体" w:cs="宋体"/>
          <w:b/>
          <w:bCs/>
          <w:sz w:val="21"/>
          <w:szCs w:val="21"/>
          <w:lang w:val="zh-CN"/>
        </w:rPr>
        <w:t>14、提交投标文件的时间、地点、方式</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01B0E4FC">
      <w:pPr>
        <w:autoSpaceDE w:val="0"/>
        <w:autoSpaceDN w:val="0"/>
        <w:spacing w:line="360" w:lineRule="auto"/>
        <w:ind w:firstLine="420" w:firstLineChars="200"/>
        <w:rPr>
          <w:rFonts w:ascii="宋体" w:hAnsi="宋体" w:cs="宋体"/>
          <w:kern w:val="0"/>
          <w:sz w:val="21"/>
          <w:szCs w:val="21"/>
          <w:lang w:val="zh-CN"/>
        </w:rPr>
      </w:pPr>
      <w:bookmarkStart w:id="497" w:name="_Toc22403"/>
      <w:bookmarkStart w:id="498" w:name="_Toc11352"/>
      <w:bookmarkStart w:id="499" w:name="_Toc10304"/>
      <w:bookmarkStart w:id="500" w:name="_Toc7446"/>
      <w:bookmarkStart w:id="501" w:name="_Toc26814"/>
      <w:bookmarkStart w:id="502" w:name="_Toc1860"/>
      <w:bookmarkStart w:id="503" w:name="_Toc4491"/>
      <w:bookmarkStart w:id="504" w:name="_Toc28490"/>
      <w:bookmarkStart w:id="505" w:name="_Toc29383"/>
      <w:bookmarkStart w:id="506" w:name="_Toc28628_WPSOffice_Level3"/>
      <w:bookmarkStart w:id="507" w:name="_Toc19282"/>
      <w:bookmarkStart w:id="508" w:name="_Toc26054"/>
      <w:bookmarkStart w:id="509" w:name="_Toc7384"/>
      <w:bookmarkStart w:id="510" w:name="_Toc21306"/>
      <w:bookmarkStart w:id="511" w:name="_Toc12071"/>
      <w:bookmarkStart w:id="512" w:name="_Toc13553"/>
      <w:bookmarkStart w:id="513" w:name="_Toc15457356"/>
      <w:bookmarkStart w:id="514" w:name="_Toc32259"/>
      <w:bookmarkStart w:id="515" w:name="_Toc19918"/>
      <w:bookmarkStart w:id="516" w:name="_Toc21631"/>
      <w:bookmarkStart w:id="517" w:name="_Toc3797"/>
      <w:r>
        <w:rPr>
          <w:rFonts w:hint="eastAsia" w:ascii="宋体" w:hAnsi="宋体" w:cs="宋体"/>
          <w:kern w:val="0"/>
          <w:sz w:val="21"/>
          <w:szCs w:val="21"/>
          <w:lang w:val="zh-CN"/>
        </w:rPr>
        <w:t>14.1开标时间及地点见供应商须知前附表。</w:t>
      </w:r>
      <w:r>
        <w:rPr>
          <w:rFonts w:hint="eastAsia" w:ascii="宋体" w:hAnsi="宋体" w:cs="宋体"/>
          <w:b/>
          <w:kern w:val="0"/>
          <w:sz w:val="21"/>
          <w:szCs w:val="21"/>
          <w:lang w:val="zh-CN"/>
        </w:rPr>
        <w:t>（本项目全面实行在线“不见面”开标，供应商远程在线解密投标文件，不再到开标现场，供应商开标前应仔细阅读《“不见面”开标注意事项及操作流程》。）</w:t>
      </w:r>
    </w:p>
    <w:p w14:paraId="3714274B">
      <w:pPr>
        <w:spacing w:line="360" w:lineRule="auto"/>
        <w:outlineLvl w:val="2"/>
        <w:rPr>
          <w:rFonts w:ascii="宋体" w:hAnsi="宋体" w:cs="宋体"/>
          <w:b/>
          <w:bCs/>
          <w:sz w:val="21"/>
          <w:szCs w:val="21"/>
          <w:lang w:val="zh-CN"/>
        </w:rPr>
      </w:pPr>
      <w:bookmarkStart w:id="518" w:name="_Toc21703"/>
      <w:bookmarkStart w:id="519" w:name="_Toc21620"/>
      <w:r>
        <w:rPr>
          <w:rFonts w:hint="eastAsia" w:ascii="宋体" w:hAnsi="宋体" w:cs="宋体"/>
          <w:b/>
          <w:bCs/>
          <w:sz w:val="21"/>
          <w:szCs w:val="21"/>
          <w:lang w:val="zh-CN"/>
        </w:rPr>
        <w:t>15、投标文件的补充、修改或者撤回</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116D037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15.1 供应商在投标截止时间前，可以对所递交的投标文件进行补充、修改或者撤回，并书面通知采购人或者采购代理机构。补充、修改的内容应当按照采购文件要求签字、盖章、密封后，作为投标文件的组成部分。</w:t>
      </w:r>
    </w:p>
    <w:p w14:paraId="5E95EEBE">
      <w:pPr>
        <w:pStyle w:val="4"/>
        <w:ind w:firstLine="422"/>
        <w:jc w:val="center"/>
        <w:rPr>
          <w:rFonts w:ascii="宋体" w:hAnsi="宋体" w:cs="宋体"/>
          <w:sz w:val="21"/>
          <w:szCs w:val="21"/>
          <w:lang w:val="zh-CN"/>
        </w:rPr>
      </w:pPr>
      <w:bookmarkStart w:id="520" w:name="_Toc2193"/>
      <w:bookmarkStart w:id="521" w:name="_Toc11012"/>
      <w:r>
        <w:rPr>
          <w:rFonts w:hint="eastAsia" w:ascii="宋体" w:hAnsi="宋体" w:cs="宋体"/>
          <w:sz w:val="21"/>
          <w:szCs w:val="21"/>
          <w:lang w:val="zh-CN"/>
        </w:rPr>
        <w:t>五、开标</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520"/>
      <w:bookmarkEnd w:id="521"/>
    </w:p>
    <w:p w14:paraId="41FED803">
      <w:pPr>
        <w:spacing w:line="360" w:lineRule="auto"/>
        <w:outlineLvl w:val="2"/>
        <w:rPr>
          <w:rFonts w:ascii="宋体" w:hAnsi="宋体" w:cs="宋体"/>
          <w:b/>
          <w:bCs/>
          <w:sz w:val="21"/>
          <w:szCs w:val="21"/>
          <w:lang w:val="zh-CN"/>
        </w:rPr>
      </w:pPr>
      <w:bookmarkStart w:id="522" w:name="_Toc18000"/>
      <w:bookmarkStart w:id="523" w:name="_Toc5339"/>
      <w:bookmarkStart w:id="524" w:name="_Toc26760"/>
      <w:bookmarkStart w:id="525" w:name="_Toc26299"/>
      <w:bookmarkStart w:id="526" w:name="_Toc31057"/>
      <w:bookmarkStart w:id="527" w:name="_Toc131"/>
      <w:bookmarkStart w:id="528" w:name="_Toc5698"/>
      <w:bookmarkStart w:id="529" w:name="_Toc12009"/>
      <w:bookmarkStart w:id="530" w:name="_Toc10898"/>
      <w:bookmarkStart w:id="531" w:name="_Toc8983"/>
      <w:bookmarkStart w:id="532" w:name="_Toc15126"/>
      <w:bookmarkStart w:id="533" w:name="_Toc28043"/>
      <w:bookmarkStart w:id="534" w:name="_Toc8395"/>
      <w:bookmarkStart w:id="535" w:name="_Toc7745"/>
      <w:bookmarkStart w:id="536" w:name="_Toc31230_WPSOffice_Level3"/>
      <w:bookmarkStart w:id="537" w:name="_Toc13973"/>
      <w:bookmarkStart w:id="538" w:name="_Toc30384"/>
      <w:bookmarkStart w:id="539" w:name="_Toc31327"/>
      <w:bookmarkStart w:id="540" w:name="_Toc4294"/>
      <w:bookmarkStart w:id="541" w:name="_Toc100"/>
      <w:bookmarkStart w:id="542" w:name="_Toc16687"/>
      <w:bookmarkStart w:id="543" w:name="_Toc2482"/>
      <w:bookmarkStart w:id="544" w:name="_Toc23211"/>
      <w:r>
        <w:rPr>
          <w:rFonts w:hint="eastAsia" w:ascii="宋体" w:hAnsi="宋体" w:cs="宋体"/>
          <w:b/>
          <w:bCs/>
          <w:sz w:val="21"/>
          <w:szCs w:val="21"/>
          <w:lang w:val="zh-CN"/>
        </w:rPr>
        <w:t>16、开标</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3F6EDF1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16.1</w:t>
      </w:r>
      <w:r>
        <w:rPr>
          <w:rFonts w:hint="eastAsia" w:ascii="宋体" w:hAnsi="宋体" w:cs="宋体"/>
          <w:kern w:val="0"/>
          <w:sz w:val="21"/>
          <w:szCs w:val="21"/>
        </w:rPr>
        <w:t xml:space="preserve"> </w:t>
      </w:r>
      <w:r>
        <w:rPr>
          <w:rFonts w:hint="eastAsia" w:ascii="宋体" w:hAnsi="宋体" w:cs="宋体"/>
          <w:kern w:val="0"/>
          <w:sz w:val="21"/>
          <w:szCs w:val="21"/>
          <w:lang w:val="zh-CN"/>
        </w:rPr>
        <w:t>开标应当在招标文件确定的提交投标文件截止时间的同一时间进行。采购代理机构应当按本文件中确定的时间和地点组织开标活动。</w:t>
      </w:r>
    </w:p>
    <w:p w14:paraId="2150619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16.2</w:t>
      </w:r>
      <w:r>
        <w:rPr>
          <w:rFonts w:hint="eastAsia" w:ascii="宋体" w:hAnsi="宋体" w:cs="宋体"/>
          <w:kern w:val="0"/>
          <w:sz w:val="21"/>
          <w:szCs w:val="21"/>
        </w:rPr>
        <w:t xml:space="preserve"> </w:t>
      </w:r>
      <w:r>
        <w:rPr>
          <w:rFonts w:hint="eastAsia" w:ascii="宋体" w:hAnsi="宋体" w:cs="宋体"/>
          <w:sz w:val="21"/>
          <w:szCs w:val="21"/>
          <w:shd w:val="clear" w:color="auto" w:fill="FFFFFF"/>
        </w:rPr>
        <w:t>开标由</w:t>
      </w:r>
      <w:r>
        <w:rPr>
          <w:rFonts w:hint="eastAsia" w:ascii="宋体" w:hAnsi="宋体" w:cs="宋体"/>
          <w:kern w:val="0"/>
          <w:sz w:val="21"/>
          <w:szCs w:val="21"/>
          <w:lang w:val="zh-CN"/>
        </w:rPr>
        <w:t>采购代理机构</w:t>
      </w:r>
      <w:r>
        <w:rPr>
          <w:rFonts w:hint="eastAsia" w:ascii="宋体" w:hAnsi="宋体" w:cs="宋体"/>
          <w:sz w:val="21"/>
          <w:szCs w:val="21"/>
          <w:shd w:val="clear" w:color="auto" w:fill="FFFFFF"/>
        </w:rPr>
        <w:t>主持，评标委员会成员（包括采购人代表）不得参加开标活动。</w:t>
      </w:r>
    </w:p>
    <w:p w14:paraId="05D99681">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 xml:space="preserve">16.3 </w:t>
      </w:r>
      <w:bookmarkStart w:id="545" w:name="_Toc18471"/>
      <w:bookmarkStart w:id="546" w:name="_Toc12700"/>
      <w:r>
        <w:rPr>
          <w:rFonts w:hint="eastAsia" w:ascii="宋体" w:hAnsi="宋体" w:cs="宋体"/>
          <w:b/>
          <w:kern w:val="0"/>
          <w:sz w:val="21"/>
          <w:szCs w:val="21"/>
          <w:lang w:val="zh-CN"/>
        </w:rPr>
        <w:t>不见面开标程序</w:t>
      </w:r>
      <w:bookmarkEnd w:id="545"/>
      <w:bookmarkEnd w:id="546"/>
      <w:r>
        <w:rPr>
          <w:rFonts w:hint="eastAsia" w:ascii="宋体" w:hAnsi="宋体" w:cs="宋体"/>
          <w:b/>
          <w:kern w:val="0"/>
          <w:sz w:val="21"/>
          <w:szCs w:val="21"/>
          <w:lang w:val="zh-CN"/>
        </w:rPr>
        <w:t>：</w:t>
      </w:r>
    </w:p>
    <w:p w14:paraId="0534D738">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16.3.1开标时，供应商采用网上远程异地解密时，请用CA证书登录平顶山市公共资源交易中心业务系统，进入本项目开标大厅点击解密来完成投标文件的解密工作。每位供应商的解密时间从开标时间起60分钟内完成，超过规定时间解密的投标文件不予接收。</w:t>
      </w:r>
    </w:p>
    <w:p w14:paraId="495EFD32">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16.3.2如出现供应商的电子投标文件无法解密的情况，供应商应及时联系招标人（代理机构）进行说明。投标文件解密异常，按以下步骤进行处理：</w:t>
      </w:r>
    </w:p>
    <w:p w14:paraId="782892E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（1）如果是投标文件自身问题导致投标文件无法解密的，该投标文件将不予接收、解密。</w:t>
      </w:r>
    </w:p>
    <w:p w14:paraId="4F274BE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（2）如果是电子化交易系统问题造成投标文件无法解密的，将由技术人员进行排查处理。如短时间内问题无法解决的，将由招标人（代理机构）联系监督部门申请暂停开标，待问题解决后继续开标。</w:t>
      </w:r>
    </w:p>
    <w:p w14:paraId="5A34D21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16.3.3所有投标文件解密完成后，由招标人（代理机构）操作，对开标结果进行公示。</w:t>
      </w:r>
    </w:p>
    <w:p w14:paraId="03E1ABE3">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16.3.4供应商应保证在开标期间电话、电脑、网络等能够正常使用，供应商因停电、电脑病毒、网络堵塞等原因，未在规定的解密时间内对投标文件进行解密的，其投标文件不予接收。</w:t>
      </w:r>
    </w:p>
    <w:p w14:paraId="06DA5F2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16.3.5解密完成后，供应商可登录到交易系统查看自己的投标报价。如对自己的报价内容有异议的，应在报价内容显示后20分钟内联系招标人（代理机构）进行质疑，供应商未在规定时间内提出质疑的，视为认可开标结果显示内容。</w:t>
      </w:r>
    </w:p>
    <w:p w14:paraId="7C3D5B7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16.3.6具体操作流程供应商需仔细阅读平顶山市交易中心网站《“不见面”开标注意事项及操作流程》。</w:t>
      </w:r>
    </w:p>
    <w:p w14:paraId="3EFD713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 xml:space="preserve">16.4 </w:t>
      </w:r>
      <w:r>
        <w:rPr>
          <w:rFonts w:hint="eastAsia" w:ascii="宋体" w:hAnsi="宋体" w:cs="宋体"/>
          <w:kern w:val="0"/>
          <w:sz w:val="21"/>
          <w:szCs w:val="21"/>
          <w:lang w:eastAsia="zh-CN"/>
        </w:rPr>
        <w:t>供应商</w:t>
      </w:r>
      <w:r>
        <w:rPr>
          <w:rFonts w:hint="eastAsia" w:ascii="宋体" w:hAnsi="宋体" w:cs="宋体"/>
          <w:kern w:val="0"/>
          <w:sz w:val="21"/>
          <w:szCs w:val="21"/>
        </w:rPr>
        <w:t>代表对开标过程和开标记录有疑义，以及认为采购人、采购代理机构相关工作人员有需要回避的情形的，应当场提出询问或者回避申请。采购人、采购代理机构对</w:t>
      </w:r>
      <w:r>
        <w:rPr>
          <w:rFonts w:hint="eastAsia" w:ascii="宋体" w:hAnsi="宋体" w:cs="宋体"/>
          <w:kern w:val="0"/>
          <w:sz w:val="21"/>
          <w:szCs w:val="21"/>
          <w:lang w:eastAsia="zh-CN"/>
        </w:rPr>
        <w:t>供应商</w:t>
      </w:r>
      <w:r>
        <w:rPr>
          <w:rFonts w:hint="eastAsia" w:ascii="宋体" w:hAnsi="宋体" w:cs="宋体"/>
          <w:kern w:val="0"/>
          <w:sz w:val="21"/>
          <w:szCs w:val="21"/>
        </w:rPr>
        <w:t>代表提出的询问或者回避申请应当及时处理。</w:t>
      </w:r>
      <w:r>
        <w:rPr>
          <w:rFonts w:hint="eastAsia" w:ascii="宋体" w:hAnsi="宋体" w:cs="宋体"/>
          <w:kern w:val="0"/>
          <w:sz w:val="21"/>
          <w:szCs w:val="21"/>
          <w:lang w:eastAsia="zh-CN"/>
        </w:rPr>
        <w:t>供应商</w:t>
      </w:r>
      <w:r>
        <w:rPr>
          <w:rFonts w:hint="eastAsia" w:ascii="宋体" w:hAnsi="宋体" w:cs="宋体"/>
          <w:kern w:val="0"/>
          <w:sz w:val="21"/>
          <w:szCs w:val="21"/>
        </w:rPr>
        <w:t>未参加开标的，视同认可开标结果。</w:t>
      </w:r>
    </w:p>
    <w:p w14:paraId="69FE738C">
      <w:pPr>
        <w:pStyle w:val="4"/>
        <w:ind w:firstLine="422"/>
        <w:jc w:val="center"/>
        <w:rPr>
          <w:rFonts w:ascii="宋体" w:hAnsi="宋体" w:cs="宋体"/>
          <w:sz w:val="21"/>
          <w:szCs w:val="21"/>
          <w:lang w:val="zh-CN"/>
        </w:rPr>
      </w:pPr>
      <w:bookmarkStart w:id="547" w:name="_Toc20703"/>
      <w:bookmarkStart w:id="548" w:name="_Toc12550"/>
      <w:bookmarkStart w:id="549" w:name="_Toc20323"/>
      <w:bookmarkStart w:id="550" w:name="_Toc6945"/>
      <w:bookmarkStart w:id="551" w:name="_Toc14582"/>
      <w:bookmarkStart w:id="552" w:name="_Toc23082"/>
      <w:bookmarkStart w:id="553" w:name="_Toc24458"/>
      <w:bookmarkStart w:id="554" w:name="_Toc20602"/>
      <w:bookmarkStart w:id="555" w:name="_Toc17494"/>
      <w:bookmarkStart w:id="556" w:name="_Toc4614"/>
      <w:bookmarkStart w:id="557" w:name="_Toc23146"/>
      <w:bookmarkStart w:id="558" w:name="_Toc8100"/>
      <w:bookmarkStart w:id="559" w:name="_Toc3510_WPSOffice_Level2"/>
      <w:bookmarkStart w:id="560" w:name="_Toc15121"/>
      <w:bookmarkStart w:id="561" w:name="_Toc4159"/>
      <w:bookmarkStart w:id="562" w:name="_Toc15629"/>
      <w:bookmarkStart w:id="563" w:name="_Toc496004006"/>
      <w:bookmarkStart w:id="564" w:name="_Toc6810"/>
      <w:bookmarkStart w:id="565" w:name="_Toc2697"/>
      <w:bookmarkStart w:id="566" w:name="_Toc6248_WPSOffice_Level2"/>
      <w:bookmarkStart w:id="567" w:name="_Toc27400"/>
      <w:bookmarkStart w:id="568" w:name="_Toc6086"/>
      <w:bookmarkStart w:id="569" w:name="_Toc18585"/>
      <w:bookmarkStart w:id="570" w:name="_Toc12770"/>
      <w:bookmarkStart w:id="571" w:name="_Toc31012"/>
      <w:r>
        <w:rPr>
          <w:rFonts w:hint="eastAsia" w:ascii="宋体" w:hAnsi="宋体" w:cs="宋体"/>
          <w:sz w:val="21"/>
          <w:szCs w:val="21"/>
          <w:lang w:val="zh-CN"/>
        </w:rPr>
        <w:t>六、资格审查程序</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6723C5F4">
      <w:pPr>
        <w:spacing w:line="360" w:lineRule="auto"/>
        <w:outlineLvl w:val="2"/>
        <w:rPr>
          <w:rFonts w:ascii="宋体" w:hAnsi="宋体" w:cs="宋体"/>
          <w:b/>
          <w:bCs/>
          <w:sz w:val="21"/>
          <w:szCs w:val="21"/>
          <w:lang w:val="zh-CN"/>
        </w:rPr>
      </w:pPr>
      <w:bookmarkStart w:id="572" w:name="_Toc27384"/>
      <w:bookmarkStart w:id="573" w:name="_Toc8602"/>
      <w:bookmarkStart w:id="574" w:name="_Toc26927"/>
      <w:bookmarkStart w:id="575" w:name="_Toc4514"/>
      <w:bookmarkStart w:id="576" w:name="_Toc10700"/>
      <w:bookmarkStart w:id="577" w:name="_Toc31402"/>
      <w:bookmarkStart w:id="578" w:name="_Toc11353"/>
      <w:bookmarkStart w:id="579" w:name="_Toc27309"/>
      <w:bookmarkStart w:id="580" w:name="_Toc32142"/>
      <w:bookmarkStart w:id="581" w:name="_Toc21939"/>
      <w:bookmarkStart w:id="582" w:name="_Toc28039"/>
      <w:bookmarkStart w:id="583" w:name="_Toc32666"/>
      <w:bookmarkStart w:id="584" w:name="_Toc15215"/>
      <w:bookmarkStart w:id="585" w:name="_Toc11258"/>
      <w:bookmarkStart w:id="586" w:name="_Toc4832"/>
      <w:bookmarkStart w:id="587" w:name="_Toc17891"/>
      <w:bookmarkStart w:id="588" w:name="_Toc23893"/>
      <w:bookmarkStart w:id="589" w:name="_Toc1743"/>
      <w:bookmarkStart w:id="590" w:name="_Toc26911"/>
      <w:bookmarkStart w:id="591" w:name="_Toc32594"/>
      <w:bookmarkStart w:id="592" w:name="_Toc2373"/>
      <w:bookmarkStart w:id="593" w:name="_Toc5607"/>
      <w:bookmarkStart w:id="594" w:name="_Toc1376_WPSOffice_Level3"/>
      <w:r>
        <w:rPr>
          <w:rFonts w:hint="eastAsia" w:ascii="宋体" w:hAnsi="宋体" w:cs="宋体"/>
          <w:b/>
          <w:bCs/>
          <w:sz w:val="21"/>
          <w:szCs w:val="21"/>
          <w:lang w:val="zh-CN"/>
        </w:rPr>
        <w:t>17、资格审查</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176A20C7">
      <w:pPr>
        <w:autoSpaceDE w:val="0"/>
        <w:autoSpaceDN w:val="0"/>
        <w:spacing w:line="360" w:lineRule="auto"/>
        <w:ind w:firstLine="420" w:firstLineChars="200"/>
        <w:rPr>
          <w:rFonts w:ascii="宋体" w:hAnsi="宋体" w:cs="宋体"/>
          <w:kern w:val="0"/>
          <w:sz w:val="21"/>
          <w:szCs w:val="21"/>
        </w:rPr>
      </w:pPr>
      <w:bookmarkStart w:id="595" w:name="_Toc5976"/>
      <w:bookmarkStart w:id="596" w:name="_Toc19974"/>
      <w:bookmarkStart w:id="597" w:name="_Toc4305"/>
      <w:bookmarkStart w:id="598" w:name="_Toc4744"/>
      <w:bookmarkStart w:id="599" w:name="_Toc25821"/>
      <w:bookmarkStart w:id="600" w:name="_Toc9838"/>
      <w:bookmarkStart w:id="601" w:name="_Toc25597_WPSOffice_Level2"/>
      <w:bookmarkStart w:id="602" w:name="_Toc30577"/>
      <w:bookmarkStart w:id="603" w:name="_Toc21029"/>
      <w:bookmarkStart w:id="604" w:name="_Toc32564"/>
      <w:bookmarkStart w:id="605" w:name="_Toc26258"/>
      <w:bookmarkStart w:id="606" w:name="_Toc29422"/>
      <w:bookmarkStart w:id="607" w:name="_Toc2683"/>
      <w:bookmarkStart w:id="608" w:name="_Toc29118"/>
      <w:bookmarkStart w:id="609" w:name="_Toc4306"/>
      <w:bookmarkStart w:id="610" w:name="_Toc26353"/>
      <w:bookmarkStart w:id="611" w:name="_Toc998"/>
      <w:bookmarkStart w:id="612" w:name="_Toc21602"/>
      <w:bookmarkStart w:id="613" w:name="_Toc7612"/>
      <w:bookmarkStart w:id="614" w:name="_Toc31170"/>
      <w:bookmarkStart w:id="615" w:name="_Toc31834"/>
      <w:bookmarkStart w:id="616" w:name="_Toc15108_WPSOffice_Level2"/>
      <w:r>
        <w:rPr>
          <w:rFonts w:hint="eastAsia" w:ascii="宋体" w:hAnsi="宋体" w:cs="宋体"/>
          <w:kern w:val="0"/>
          <w:sz w:val="21"/>
          <w:szCs w:val="21"/>
        </w:rPr>
        <w:t>17.1 开标结束后，采购人或者采购代理机构应当依法对</w:t>
      </w:r>
      <w:r>
        <w:rPr>
          <w:rFonts w:hint="eastAsia" w:ascii="宋体" w:hAnsi="宋体" w:cs="宋体"/>
          <w:kern w:val="0"/>
          <w:sz w:val="21"/>
          <w:szCs w:val="21"/>
          <w:lang w:eastAsia="zh-CN"/>
        </w:rPr>
        <w:t>供应商</w:t>
      </w:r>
      <w:r>
        <w:rPr>
          <w:rFonts w:hint="eastAsia" w:ascii="宋体" w:hAnsi="宋体" w:cs="宋体"/>
          <w:kern w:val="0"/>
          <w:sz w:val="21"/>
          <w:szCs w:val="21"/>
        </w:rPr>
        <w:t>的资格性进行审查。</w:t>
      </w:r>
    </w:p>
    <w:p w14:paraId="2E113B9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17.2 合格</w:t>
      </w:r>
      <w:r>
        <w:rPr>
          <w:rFonts w:hint="eastAsia" w:ascii="宋体" w:hAnsi="宋体" w:cs="宋体"/>
          <w:kern w:val="0"/>
          <w:sz w:val="21"/>
          <w:szCs w:val="21"/>
          <w:lang w:eastAsia="zh-CN"/>
        </w:rPr>
        <w:t>供应商</w:t>
      </w:r>
      <w:r>
        <w:rPr>
          <w:rFonts w:hint="eastAsia" w:ascii="宋体" w:hAnsi="宋体" w:cs="宋体"/>
          <w:kern w:val="0"/>
          <w:sz w:val="21"/>
          <w:szCs w:val="21"/>
        </w:rPr>
        <w:t>不足3家的，不得评标。</w:t>
      </w:r>
    </w:p>
    <w:p w14:paraId="1A2DCC06">
      <w:pPr>
        <w:autoSpaceDE w:val="0"/>
        <w:autoSpaceDN w:val="0"/>
        <w:spacing w:line="360" w:lineRule="auto"/>
        <w:ind w:firstLine="420" w:firstLineChars="200"/>
        <w:rPr>
          <w:rFonts w:ascii="宋体" w:hAnsi="宋体" w:cs="宋体"/>
          <w:kern w:val="0"/>
          <w:sz w:val="21"/>
          <w:szCs w:val="21"/>
        </w:rPr>
      </w:pPr>
      <w:bookmarkStart w:id="617" w:name="_Toc497503249"/>
      <w:bookmarkStart w:id="618" w:name="_Toc497503315"/>
      <w:bookmarkStart w:id="619" w:name="_Toc497503516"/>
      <w:bookmarkStart w:id="620" w:name="_Toc497503449"/>
      <w:bookmarkStart w:id="621" w:name="_Toc30809"/>
      <w:r>
        <w:rPr>
          <w:rFonts w:hint="eastAsia" w:ascii="宋体" w:hAnsi="宋体" w:cs="宋体"/>
          <w:kern w:val="0"/>
          <w:sz w:val="21"/>
          <w:szCs w:val="21"/>
        </w:rPr>
        <w:t xml:space="preserve">17.3 </w:t>
      </w:r>
      <w:r>
        <w:rPr>
          <w:rFonts w:hint="eastAsia" w:ascii="宋体" w:hAnsi="宋体" w:cs="宋体"/>
          <w:kern w:val="0"/>
          <w:sz w:val="21"/>
          <w:szCs w:val="21"/>
          <w:lang w:eastAsia="zh-CN"/>
        </w:rPr>
        <w:t>供应商</w:t>
      </w:r>
      <w:r>
        <w:rPr>
          <w:rFonts w:hint="eastAsia" w:ascii="宋体" w:hAnsi="宋体" w:cs="宋体"/>
          <w:kern w:val="0"/>
          <w:sz w:val="21"/>
          <w:szCs w:val="21"/>
        </w:rPr>
        <w:t>资格评审未通过的，其投标无效。资格审查标准如下：</w:t>
      </w:r>
      <w:bookmarkEnd w:id="617"/>
      <w:bookmarkEnd w:id="618"/>
      <w:bookmarkEnd w:id="619"/>
      <w:bookmarkEnd w:id="620"/>
      <w:bookmarkEnd w:id="621"/>
    </w:p>
    <w:tbl>
      <w:tblPr>
        <w:tblStyle w:val="30"/>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1"/>
        <w:gridCol w:w="4986"/>
        <w:gridCol w:w="4360"/>
      </w:tblGrid>
      <w:tr w14:paraId="3650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restart"/>
            <w:vAlign w:val="center"/>
          </w:tcPr>
          <w:p w14:paraId="0A8DCA2B">
            <w:pPr>
              <w:spacing w:line="360" w:lineRule="auto"/>
              <w:jc w:val="center"/>
              <w:rPr>
                <w:rFonts w:ascii="宋体" w:hAnsi="宋体"/>
                <w:sz w:val="21"/>
                <w:szCs w:val="21"/>
              </w:rPr>
            </w:pPr>
            <w:r>
              <w:rPr>
                <w:rFonts w:ascii="宋体" w:hAnsi="宋体"/>
                <w:sz w:val="21"/>
                <w:szCs w:val="21"/>
              </w:rPr>
              <w:t>资格评审标准</w:t>
            </w:r>
          </w:p>
        </w:tc>
        <w:tc>
          <w:tcPr>
            <w:tcW w:w="2514" w:type="pct"/>
            <w:vAlign w:val="center"/>
          </w:tcPr>
          <w:p w14:paraId="2EE047F4">
            <w:pPr>
              <w:spacing w:line="360" w:lineRule="auto"/>
              <w:jc w:val="center"/>
              <w:rPr>
                <w:rFonts w:ascii="宋体" w:hAnsi="宋体"/>
                <w:sz w:val="21"/>
                <w:szCs w:val="21"/>
              </w:rPr>
            </w:pPr>
            <w:r>
              <w:rPr>
                <w:rFonts w:hint="eastAsia" w:ascii="宋体" w:hAnsi="宋体"/>
                <w:sz w:val="21"/>
                <w:szCs w:val="21"/>
              </w:rPr>
              <w:t>评审</w:t>
            </w:r>
            <w:r>
              <w:rPr>
                <w:rFonts w:ascii="宋体" w:hAnsi="宋体"/>
                <w:sz w:val="21"/>
                <w:szCs w:val="21"/>
              </w:rPr>
              <w:t>因素</w:t>
            </w:r>
          </w:p>
        </w:tc>
        <w:tc>
          <w:tcPr>
            <w:tcW w:w="2198" w:type="pct"/>
          </w:tcPr>
          <w:p w14:paraId="3195E152">
            <w:pPr>
              <w:spacing w:line="360" w:lineRule="auto"/>
              <w:jc w:val="center"/>
              <w:rPr>
                <w:rFonts w:ascii="宋体" w:hAnsi="宋体"/>
                <w:sz w:val="21"/>
                <w:szCs w:val="21"/>
              </w:rPr>
            </w:pPr>
            <w:r>
              <w:rPr>
                <w:rFonts w:hint="eastAsia" w:ascii="宋体" w:hAnsi="宋体"/>
                <w:sz w:val="21"/>
                <w:szCs w:val="21"/>
              </w:rPr>
              <w:t>评审标准</w:t>
            </w:r>
          </w:p>
        </w:tc>
      </w:tr>
      <w:tr w14:paraId="2530A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183783CD">
            <w:pPr>
              <w:spacing w:line="360" w:lineRule="auto"/>
              <w:jc w:val="center"/>
              <w:rPr>
                <w:rFonts w:ascii="宋体" w:hAnsi="宋体"/>
                <w:sz w:val="21"/>
                <w:szCs w:val="21"/>
              </w:rPr>
            </w:pPr>
          </w:p>
        </w:tc>
        <w:tc>
          <w:tcPr>
            <w:tcW w:w="2514" w:type="pct"/>
            <w:vAlign w:val="center"/>
          </w:tcPr>
          <w:p w14:paraId="0A602867">
            <w:pPr>
              <w:spacing w:line="360" w:lineRule="auto"/>
              <w:jc w:val="center"/>
              <w:rPr>
                <w:rFonts w:ascii="宋体" w:hAnsi="宋体"/>
                <w:sz w:val="21"/>
                <w:szCs w:val="21"/>
              </w:rPr>
            </w:pPr>
            <w:r>
              <w:rPr>
                <w:rFonts w:hint="eastAsia" w:ascii="宋体" w:hAnsi="宋体"/>
                <w:sz w:val="21"/>
                <w:szCs w:val="21"/>
              </w:rPr>
              <w:t>营业执照</w:t>
            </w:r>
          </w:p>
        </w:tc>
        <w:tc>
          <w:tcPr>
            <w:tcW w:w="2198" w:type="pct"/>
            <w:vAlign w:val="center"/>
          </w:tcPr>
          <w:p w14:paraId="40729405">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1AC6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2B91D83F">
            <w:pPr>
              <w:spacing w:line="360" w:lineRule="auto"/>
              <w:jc w:val="center"/>
              <w:rPr>
                <w:rFonts w:ascii="宋体" w:hAnsi="宋体"/>
                <w:sz w:val="21"/>
                <w:szCs w:val="21"/>
              </w:rPr>
            </w:pPr>
          </w:p>
        </w:tc>
        <w:tc>
          <w:tcPr>
            <w:tcW w:w="2514" w:type="pct"/>
            <w:vAlign w:val="center"/>
          </w:tcPr>
          <w:p w14:paraId="3D5E6D78">
            <w:pPr>
              <w:spacing w:line="360" w:lineRule="auto"/>
              <w:jc w:val="center"/>
              <w:rPr>
                <w:rFonts w:ascii="宋体" w:hAnsi="宋体"/>
                <w:sz w:val="21"/>
                <w:szCs w:val="21"/>
              </w:rPr>
            </w:pPr>
            <w:r>
              <w:rPr>
                <w:rFonts w:hint="eastAsia" w:ascii="宋体" w:hAnsi="宋体" w:cs="宋体"/>
                <w:sz w:val="21"/>
                <w:szCs w:val="21"/>
                <w:lang w:val="zh-CN"/>
              </w:rPr>
              <w:t>具有良好的商业信誉和健全的财务会计制度</w:t>
            </w:r>
          </w:p>
        </w:tc>
        <w:tc>
          <w:tcPr>
            <w:tcW w:w="2198" w:type="pct"/>
            <w:vAlign w:val="center"/>
          </w:tcPr>
          <w:p w14:paraId="4FB04D75">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5A88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6877676D">
            <w:pPr>
              <w:spacing w:line="360" w:lineRule="auto"/>
              <w:jc w:val="center"/>
              <w:rPr>
                <w:rFonts w:ascii="宋体" w:hAnsi="宋体"/>
                <w:sz w:val="21"/>
                <w:szCs w:val="21"/>
              </w:rPr>
            </w:pPr>
          </w:p>
        </w:tc>
        <w:tc>
          <w:tcPr>
            <w:tcW w:w="2514" w:type="pct"/>
            <w:vAlign w:val="center"/>
          </w:tcPr>
          <w:p w14:paraId="0F59345F">
            <w:pPr>
              <w:spacing w:line="360" w:lineRule="auto"/>
              <w:jc w:val="center"/>
              <w:rPr>
                <w:rFonts w:ascii="宋体" w:hAnsi="宋体"/>
                <w:sz w:val="21"/>
                <w:szCs w:val="21"/>
              </w:rPr>
            </w:pPr>
            <w:r>
              <w:rPr>
                <w:rFonts w:hint="eastAsia" w:ascii="宋体" w:hAnsi="宋体" w:cs="宋体"/>
                <w:sz w:val="21"/>
                <w:szCs w:val="21"/>
                <w:lang w:val="zh-CN"/>
              </w:rPr>
              <w:t>具有履行合同所必须的设备和专业技术能力</w:t>
            </w:r>
          </w:p>
        </w:tc>
        <w:tc>
          <w:tcPr>
            <w:tcW w:w="2198" w:type="pct"/>
            <w:vAlign w:val="center"/>
          </w:tcPr>
          <w:p w14:paraId="25B52FEA">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6D18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01F2B5F1">
            <w:pPr>
              <w:spacing w:line="360" w:lineRule="auto"/>
              <w:jc w:val="center"/>
              <w:rPr>
                <w:rFonts w:ascii="宋体" w:hAnsi="宋体"/>
                <w:sz w:val="21"/>
                <w:szCs w:val="21"/>
              </w:rPr>
            </w:pPr>
          </w:p>
        </w:tc>
        <w:tc>
          <w:tcPr>
            <w:tcW w:w="2514" w:type="pct"/>
            <w:vAlign w:val="center"/>
          </w:tcPr>
          <w:p w14:paraId="7547697F">
            <w:pPr>
              <w:spacing w:line="360" w:lineRule="auto"/>
              <w:jc w:val="center"/>
              <w:rPr>
                <w:rFonts w:ascii="宋体" w:hAnsi="宋体"/>
                <w:sz w:val="21"/>
                <w:szCs w:val="21"/>
              </w:rPr>
            </w:pPr>
            <w:r>
              <w:rPr>
                <w:rFonts w:hint="eastAsia" w:ascii="宋体" w:hAnsi="宋体" w:cs="宋体"/>
                <w:sz w:val="21"/>
                <w:szCs w:val="21"/>
                <w:lang w:val="zh-CN"/>
              </w:rPr>
              <w:t>具有依法缴纳税收和社会保障资金的良好记录</w:t>
            </w:r>
          </w:p>
        </w:tc>
        <w:tc>
          <w:tcPr>
            <w:tcW w:w="2198" w:type="pct"/>
            <w:vAlign w:val="center"/>
          </w:tcPr>
          <w:p w14:paraId="40B56DAC">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5F71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2A362FDA">
            <w:pPr>
              <w:spacing w:line="360" w:lineRule="auto"/>
              <w:jc w:val="center"/>
              <w:rPr>
                <w:rFonts w:ascii="宋体" w:hAnsi="宋体"/>
                <w:sz w:val="21"/>
                <w:szCs w:val="21"/>
              </w:rPr>
            </w:pPr>
          </w:p>
        </w:tc>
        <w:tc>
          <w:tcPr>
            <w:tcW w:w="2514" w:type="pct"/>
            <w:vAlign w:val="center"/>
          </w:tcPr>
          <w:p w14:paraId="50871F7D">
            <w:pPr>
              <w:spacing w:line="360" w:lineRule="auto"/>
              <w:jc w:val="center"/>
              <w:rPr>
                <w:rFonts w:ascii="宋体" w:hAnsi="宋体"/>
                <w:sz w:val="21"/>
                <w:szCs w:val="21"/>
                <w:lang w:val="zh-CN"/>
              </w:rPr>
            </w:pPr>
            <w:r>
              <w:rPr>
                <w:rFonts w:hint="eastAsia" w:ascii="宋体" w:hAnsi="宋体" w:cs="宋体"/>
                <w:sz w:val="21"/>
                <w:szCs w:val="21"/>
                <w:lang w:val="zh-CN"/>
              </w:rPr>
              <w:t>参加政府采购活动前三年内,经营活动中没有重大违法记录</w:t>
            </w:r>
          </w:p>
        </w:tc>
        <w:tc>
          <w:tcPr>
            <w:tcW w:w="2198" w:type="pct"/>
            <w:vAlign w:val="center"/>
          </w:tcPr>
          <w:p w14:paraId="580424E2">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42EA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88" w:type="pct"/>
            <w:vMerge w:val="continue"/>
            <w:vAlign w:val="center"/>
          </w:tcPr>
          <w:p w14:paraId="2152EC08">
            <w:pPr>
              <w:spacing w:line="360" w:lineRule="auto"/>
              <w:jc w:val="center"/>
              <w:rPr>
                <w:rFonts w:ascii="宋体" w:hAnsi="宋体"/>
                <w:sz w:val="21"/>
                <w:szCs w:val="21"/>
              </w:rPr>
            </w:pPr>
          </w:p>
        </w:tc>
        <w:tc>
          <w:tcPr>
            <w:tcW w:w="2514" w:type="pct"/>
            <w:vAlign w:val="center"/>
          </w:tcPr>
          <w:p w14:paraId="045CF652">
            <w:pPr>
              <w:spacing w:line="360" w:lineRule="auto"/>
              <w:jc w:val="center"/>
              <w:rPr>
                <w:rFonts w:ascii="宋体" w:hAnsi="宋体"/>
                <w:sz w:val="21"/>
                <w:szCs w:val="21"/>
                <w:lang w:val="zh-CN"/>
              </w:rPr>
            </w:pPr>
            <w:r>
              <w:rPr>
                <w:rFonts w:ascii="宋体" w:hAnsi="宋体"/>
                <w:sz w:val="21"/>
                <w:szCs w:val="21"/>
                <w:lang w:val="zh-CN"/>
              </w:rPr>
              <w:t>其他</w:t>
            </w:r>
          </w:p>
        </w:tc>
        <w:tc>
          <w:tcPr>
            <w:tcW w:w="2198" w:type="pct"/>
            <w:vAlign w:val="center"/>
          </w:tcPr>
          <w:p w14:paraId="142D11F4">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bl>
    <w:p w14:paraId="3205BF28">
      <w:pPr>
        <w:pStyle w:val="4"/>
        <w:ind w:firstLine="422"/>
        <w:jc w:val="center"/>
        <w:rPr>
          <w:rFonts w:ascii="宋体" w:hAnsi="宋体" w:cs="宋体"/>
          <w:sz w:val="21"/>
          <w:szCs w:val="21"/>
          <w:lang w:val="zh-CN"/>
        </w:rPr>
      </w:pPr>
      <w:bookmarkStart w:id="622" w:name="_Toc15383"/>
      <w:bookmarkStart w:id="623" w:name="_Toc32403"/>
      <w:r>
        <w:rPr>
          <w:rFonts w:hint="eastAsia" w:ascii="宋体" w:hAnsi="宋体" w:cs="宋体"/>
          <w:sz w:val="21"/>
          <w:szCs w:val="21"/>
          <w:lang w:val="zh-CN"/>
        </w:rPr>
        <w:t>七、评审程序及方法</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22"/>
      <w:bookmarkEnd w:id="623"/>
    </w:p>
    <w:p w14:paraId="5FC5C053">
      <w:pPr>
        <w:spacing w:line="360" w:lineRule="auto"/>
        <w:outlineLvl w:val="2"/>
        <w:rPr>
          <w:rFonts w:ascii="宋体" w:hAnsi="宋体" w:cs="宋体"/>
          <w:b/>
          <w:bCs/>
          <w:sz w:val="21"/>
          <w:szCs w:val="21"/>
          <w:lang w:val="zh-CN"/>
        </w:rPr>
      </w:pPr>
      <w:bookmarkStart w:id="624" w:name="_Toc1718"/>
      <w:bookmarkStart w:id="625" w:name="_Toc30704"/>
      <w:bookmarkStart w:id="626" w:name="_Toc6444"/>
      <w:bookmarkStart w:id="627" w:name="_Toc24235"/>
      <w:bookmarkStart w:id="628" w:name="_Toc4249"/>
      <w:bookmarkStart w:id="629" w:name="_Toc27683"/>
      <w:bookmarkStart w:id="630" w:name="_Toc7913"/>
      <w:bookmarkStart w:id="631" w:name="_Toc15577"/>
      <w:bookmarkStart w:id="632" w:name="_Toc25700"/>
      <w:bookmarkStart w:id="633" w:name="_Toc3274_WPSOffice_Level3"/>
      <w:bookmarkStart w:id="634" w:name="_Toc25393"/>
      <w:bookmarkStart w:id="635" w:name="_Toc20221"/>
      <w:bookmarkStart w:id="636" w:name="_Toc29715"/>
      <w:bookmarkStart w:id="637" w:name="_Toc24615"/>
      <w:bookmarkStart w:id="638" w:name="_Toc8959"/>
      <w:bookmarkStart w:id="639" w:name="_Toc8130"/>
      <w:bookmarkStart w:id="640" w:name="_Toc30619"/>
      <w:bookmarkStart w:id="641" w:name="_Toc12465"/>
      <w:bookmarkStart w:id="642" w:name="_Toc14898"/>
      <w:bookmarkStart w:id="643" w:name="_Toc26743"/>
      <w:bookmarkStart w:id="644" w:name="_Toc24712"/>
      <w:r>
        <w:rPr>
          <w:rFonts w:hint="eastAsia" w:ascii="宋体" w:hAnsi="宋体" w:cs="宋体"/>
          <w:b/>
          <w:bCs/>
          <w:sz w:val="21"/>
          <w:szCs w:val="21"/>
          <w:lang w:val="zh-CN"/>
        </w:rPr>
        <w:t>18、评标委员会</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6A88D7B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18.1 </w:t>
      </w:r>
      <w:r>
        <w:rPr>
          <w:rFonts w:hint="eastAsia" w:ascii="宋体" w:hAnsi="宋体" w:cs="宋体"/>
          <w:kern w:val="0"/>
          <w:sz w:val="21"/>
          <w:szCs w:val="21"/>
          <w:lang w:val="zh-CN"/>
        </w:rPr>
        <w:t>采购人、采购代理机构负责组织评标工作，并履行下列职责：</w:t>
      </w:r>
    </w:p>
    <w:p w14:paraId="5F8F14B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1</w:t>
      </w:r>
      <w:r>
        <w:rPr>
          <w:rFonts w:hint="eastAsia" w:ascii="宋体" w:hAnsi="宋体" w:cs="宋体"/>
          <w:kern w:val="0"/>
          <w:sz w:val="21"/>
          <w:szCs w:val="21"/>
          <w:lang w:val="zh-CN"/>
        </w:rPr>
        <w:t>）核对评审专家身份和采购人代表授权函，对评审专家在政府采购活动中的职责履行情况予以记录，并及时将有关违法违规行为向监督部门报告；</w:t>
      </w:r>
    </w:p>
    <w:p w14:paraId="19F23EB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2</w:t>
      </w:r>
      <w:r>
        <w:rPr>
          <w:rFonts w:hint="eastAsia" w:ascii="宋体" w:hAnsi="宋体" w:cs="宋体"/>
          <w:kern w:val="0"/>
          <w:sz w:val="21"/>
          <w:szCs w:val="21"/>
          <w:lang w:val="zh-CN"/>
        </w:rPr>
        <w:t>）宣布评标纪律；</w:t>
      </w:r>
    </w:p>
    <w:p w14:paraId="4ED9666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3</w:t>
      </w:r>
      <w:r>
        <w:rPr>
          <w:rFonts w:hint="eastAsia" w:ascii="宋体" w:hAnsi="宋体" w:cs="宋体"/>
          <w:kern w:val="0"/>
          <w:sz w:val="21"/>
          <w:szCs w:val="21"/>
          <w:lang w:val="zh-CN"/>
        </w:rPr>
        <w:t>）公布供应商名单，告知评审专家应当回避的情形；</w:t>
      </w:r>
    </w:p>
    <w:p w14:paraId="3D10B42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4</w:t>
      </w:r>
      <w:r>
        <w:rPr>
          <w:rFonts w:hint="eastAsia" w:ascii="宋体" w:hAnsi="宋体" w:cs="宋体"/>
          <w:kern w:val="0"/>
          <w:sz w:val="21"/>
          <w:szCs w:val="21"/>
          <w:lang w:val="zh-CN"/>
        </w:rPr>
        <w:t>）组织评标委员会推选评标组长，采购人代表不得担任组长；</w:t>
      </w:r>
    </w:p>
    <w:p w14:paraId="595AAD1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5</w:t>
      </w:r>
      <w:r>
        <w:rPr>
          <w:rFonts w:hint="eastAsia" w:ascii="宋体" w:hAnsi="宋体" w:cs="宋体"/>
          <w:kern w:val="0"/>
          <w:sz w:val="21"/>
          <w:szCs w:val="21"/>
          <w:lang w:val="zh-CN"/>
        </w:rPr>
        <w:t>）在评标期间采取必要的通讯管理措施，保证评标活动不受外界干扰；</w:t>
      </w:r>
    </w:p>
    <w:p w14:paraId="2D89B4E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6</w:t>
      </w:r>
      <w:r>
        <w:rPr>
          <w:rFonts w:hint="eastAsia" w:ascii="宋体" w:hAnsi="宋体" w:cs="宋体"/>
          <w:kern w:val="0"/>
          <w:sz w:val="21"/>
          <w:szCs w:val="21"/>
          <w:lang w:val="zh-CN"/>
        </w:rPr>
        <w:t>）根据评标委员会的要求介绍政府采购相关政策法规、招标文件；</w:t>
      </w:r>
    </w:p>
    <w:p w14:paraId="24E408D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7</w:t>
      </w:r>
      <w:r>
        <w:rPr>
          <w:rFonts w:hint="eastAsia" w:ascii="宋体" w:hAnsi="宋体" w:cs="宋体"/>
          <w:kern w:val="0"/>
          <w:sz w:val="21"/>
          <w:szCs w:val="21"/>
          <w:lang w:val="zh-CN"/>
        </w:rPr>
        <w:t>）维护评标秩序，监督评标委员会依照招标文件规定的评标程序、方法和标准进行独立评审，及时制止和纠正采购人代表、评审专家的倾向性言论或者违法违规行为；</w:t>
      </w:r>
    </w:p>
    <w:p w14:paraId="41204A6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8</w:t>
      </w:r>
      <w:r>
        <w:rPr>
          <w:rFonts w:hint="eastAsia" w:ascii="宋体" w:hAnsi="宋体" w:cs="宋体"/>
          <w:kern w:val="0"/>
          <w:sz w:val="21"/>
          <w:szCs w:val="21"/>
          <w:lang w:val="zh-CN"/>
        </w:rPr>
        <w:t>）核对评标结果，有</w:t>
      </w:r>
      <w:r>
        <w:rPr>
          <w:rFonts w:hint="eastAsia" w:ascii="宋体" w:hAnsi="宋体" w:cs="宋体"/>
          <w:kern w:val="0"/>
          <w:sz w:val="21"/>
          <w:szCs w:val="21"/>
        </w:rPr>
        <w:t>20.4</w:t>
      </w:r>
      <w:r>
        <w:rPr>
          <w:rFonts w:hint="eastAsia" w:ascii="宋体" w:hAnsi="宋体" w:cs="宋体"/>
          <w:kern w:val="0"/>
          <w:sz w:val="21"/>
          <w:szCs w:val="21"/>
          <w:lang w:val="zh-CN"/>
        </w:rPr>
        <w:t>规定情形的，要求评标委员会复核或者书面说明理由，评标委员会拒绝的，应予记录并向本级监督部门报告；</w:t>
      </w:r>
    </w:p>
    <w:p w14:paraId="3540A817">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9</w:t>
      </w:r>
      <w:r>
        <w:rPr>
          <w:rFonts w:hint="eastAsia" w:ascii="宋体" w:hAnsi="宋体" w:cs="宋体"/>
          <w:kern w:val="0"/>
          <w:sz w:val="21"/>
          <w:szCs w:val="21"/>
          <w:lang w:val="zh-CN"/>
        </w:rPr>
        <w:t>）评审工作完成后，按照规定向评审专家支付劳务报酬和异地评审差旅费，不得向评审专家以外的其他人员支付评审劳务报酬；</w:t>
      </w:r>
    </w:p>
    <w:p w14:paraId="291DA80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10</w:t>
      </w:r>
      <w:r>
        <w:rPr>
          <w:rFonts w:hint="eastAsia" w:ascii="宋体" w:hAnsi="宋体" w:cs="宋体"/>
          <w:kern w:val="0"/>
          <w:sz w:val="21"/>
          <w:szCs w:val="21"/>
          <w:lang w:val="zh-CN"/>
        </w:rPr>
        <w:t>）处理与评标有关的其他事项。</w:t>
      </w:r>
    </w:p>
    <w:p w14:paraId="2B4E5F2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采购人可以在评标前说明项目背景和采购需求，说明内容不得含有歧视性、倾向性意见，不得超出招标文件所述范围。说明应当提交书面材料，并随招标文件一并存档。</w:t>
      </w:r>
    </w:p>
    <w:p w14:paraId="26F396D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18.2 评标委员会负责具体评标事务，并独立履行下列职责：</w:t>
      </w:r>
    </w:p>
    <w:p w14:paraId="4EB8BF65">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严格遵守评审工作纪律，按照客观、公正、审慎的原则，根据招标文件规定的评审程序、评审方法和评审标准进行独立评审</w:t>
      </w:r>
      <w:r>
        <w:rPr>
          <w:rFonts w:hint="eastAsia" w:ascii="宋体" w:hAnsi="宋体" w:cs="宋体"/>
          <w:kern w:val="0"/>
          <w:sz w:val="21"/>
          <w:szCs w:val="21"/>
          <w:lang w:val="zh-CN"/>
        </w:rPr>
        <w:t>；</w:t>
      </w:r>
    </w:p>
    <w:p w14:paraId="4CA84804">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现招标文件内容违反国家有关强制性规定或者招标文件存在歧义、重大缺陷导致评审工作无法进行时，应当停止评审并向采购人或者采购代理机构书面说明情况</w:t>
      </w:r>
      <w:r>
        <w:rPr>
          <w:rFonts w:hint="eastAsia" w:ascii="宋体" w:hAnsi="宋体" w:cs="宋体"/>
          <w:kern w:val="0"/>
          <w:sz w:val="21"/>
          <w:szCs w:val="21"/>
          <w:lang w:val="zh-CN"/>
        </w:rPr>
        <w:t>；</w:t>
      </w:r>
    </w:p>
    <w:p w14:paraId="63BE5BE6">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审查、评价投标文件是否符合招标文件的商务、技术等实质性要求</w:t>
      </w:r>
      <w:r>
        <w:rPr>
          <w:rFonts w:hint="eastAsia" w:ascii="宋体" w:hAnsi="宋体" w:cs="宋体"/>
          <w:kern w:val="0"/>
          <w:sz w:val="21"/>
          <w:szCs w:val="21"/>
          <w:lang w:val="zh-CN"/>
        </w:rPr>
        <w:t>；</w:t>
      </w:r>
    </w:p>
    <w:p w14:paraId="43D21FC3">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要求</w:t>
      </w:r>
      <w:r>
        <w:rPr>
          <w:rFonts w:hint="eastAsia" w:ascii="宋体" w:hAnsi="宋体" w:cs="宋体"/>
          <w:kern w:val="0"/>
          <w:sz w:val="21"/>
          <w:szCs w:val="21"/>
          <w:lang w:eastAsia="zh-CN"/>
        </w:rPr>
        <w:t>供应商</w:t>
      </w:r>
      <w:r>
        <w:rPr>
          <w:rFonts w:hint="eastAsia" w:ascii="宋体" w:hAnsi="宋体" w:cs="宋体"/>
          <w:kern w:val="0"/>
          <w:sz w:val="21"/>
          <w:szCs w:val="21"/>
        </w:rPr>
        <w:t>对投标文件有关事项作出澄清或者说明；</w:t>
      </w:r>
    </w:p>
    <w:p w14:paraId="7CD15494">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对投标文件进行比较和评价；</w:t>
      </w:r>
    </w:p>
    <w:p w14:paraId="41F77BFA">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确定中标候选人名单，以及根据采购人委托直接确定中标人；</w:t>
      </w:r>
    </w:p>
    <w:p w14:paraId="64B94721">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配合答复</w:t>
      </w:r>
      <w:r>
        <w:rPr>
          <w:rFonts w:hint="eastAsia" w:ascii="宋体" w:hAnsi="宋体" w:cs="宋体"/>
          <w:kern w:val="0"/>
          <w:sz w:val="21"/>
          <w:szCs w:val="21"/>
          <w:lang w:eastAsia="zh-CN"/>
        </w:rPr>
        <w:t>供应商</w:t>
      </w:r>
      <w:r>
        <w:rPr>
          <w:rFonts w:hint="eastAsia" w:ascii="宋体" w:hAnsi="宋体" w:cs="宋体"/>
          <w:kern w:val="0"/>
          <w:sz w:val="21"/>
          <w:szCs w:val="21"/>
        </w:rPr>
        <w:t>的询问、质疑和投诉等事项，不得泄露评审文件、评审情况和在评审过程中获悉的商业秘密</w:t>
      </w:r>
      <w:r>
        <w:rPr>
          <w:rFonts w:hint="eastAsia" w:ascii="宋体" w:hAnsi="宋体" w:cs="宋体"/>
          <w:kern w:val="0"/>
          <w:sz w:val="21"/>
          <w:szCs w:val="21"/>
          <w:lang w:val="zh-CN"/>
        </w:rPr>
        <w:t>；</w:t>
      </w:r>
    </w:p>
    <w:p w14:paraId="4D12EE09">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向采购人、采购代理机构或者有关部门报告评标中发现的违法行为。</w:t>
      </w:r>
    </w:p>
    <w:p w14:paraId="01C27DC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18.3 评标委员会由采购人代表和评审专家组成，</w:t>
      </w:r>
      <w:r>
        <w:rPr>
          <w:rFonts w:hint="eastAsia" w:ascii="宋体" w:hAnsi="宋体" w:cs="宋体"/>
          <w:bCs/>
          <w:kern w:val="0"/>
          <w:sz w:val="21"/>
          <w:szCs w:val="21"/>
        </w:rPr>
        <w:t>成员人数为5人以上单数，</w:t>
      </w:r>
      <w:r>
        <w:rPr>
          <w:rFonts w:hint="eastAsia" w:ascii="宋体" w:hAnsi="宋体" w:cs="宋体"/>
          <w:kern w:val="0"/>
          <w:sz w:val="21"/>
          <w:szCs w:val="21"/>
        </w:rPr>
        <w:t>其中评审专家不少于成员总数的三分之二。</w:t>
      </w:r>
    </w:p>
    <w:p w14:paraId="6B74307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评审专家对本单位的采购项目只作为采购人代表参与评标。采购代理机构工作人员不得参加由本机构代理的政府采购项目的评标。</w:t>
      </w:r>
    </w:p>
    <w:p w14:paraId="20A392E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评标委员会成员名单在评标结果公告前保密。</w:t>
      </w:r>
    </w:p>
    <w:p w14:paraId="36E1D4CF">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 xml:space="preserve">18.4 </w:t>
      </w:r>
      <w:r>
        <w:rPr>
          <w:rFonts w:hint="eastAsia" w:ascii="宋体" w:hAnsi="宋体" w:cs="宋体"/>
          <w:kern w:val="0"/>
          <w:sz w:val="21"/>
          <w:szCs w:val="21"/>
          <w:lang w:val="zh-CN"/>
        </w:rPr>
        <w:t>采购代理机构</w:t>
      </w:r>
      <w:r>
        <w:rPr>
          <w:rFonts w:hint="eastAsia" w:ascii="宋体" w:hAnsi="宋体" w:cs="宋体"/>
          <w:kern w:val="0"/>
          <w:sz w:val="21"/>
          <w:szCs w:val="21"/>
        </w:rPr>
        <w:t>应当从相关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本项目不适用）。</w:t>
      </w:r>
    </w:p>
    <w:p w14:paraId="21DA822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8</w:t>
      </w:r>
      <w:r>
        <w:rPr>
          <w:rFonts w:hint="eastAsia" w:ascii="宋体" w:hAnsi="宋体" w:cs="宋体"/>
          <w:kern w:val="0"/>
          <w:sz w:val="21"/>
          <w:szCs w:val="21"/>
          <w:lang w:val="zh-CN"/>
        </w:rPr>
        <w:t>.</w:t>
      </w:r>
      <w:r>
        <w:rPr>
          <w:rFonts w:hint="eastAsia" w:ascii="宋体" w:hAnsi="宋体" w:cs="宋体"/>
          <w:kern w:val="0"/>
          <w:sz w:val="21"/>
          <w:szCs w:val="21"/>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14:paraId="38565655">
      <w:pPr>
        <w:autoSpaceDE w:val="0"/>
        <w:autoSpaceDN w:val="0"/>
        <w:spacing w:line="360" w:lineRule="auto"/>
        <w:ind w:firstLine="525" w:firstLineChars="250"/>
        <w:rPr>
          <w:rFonts w:ascii="宋体" w:hAnsi="宋体" w:cs="宋体"/>
          <w:kern w:val="0"/>
          <w:sz w:val="21"/>
          <w:szCs w:val="21"/>
          <w:lang w:val="zh-CN"/>
        </w:rPr>
      </w:pPr>
      <w:r>
        <w:rPr>
          <w:rFonts w:hint="eastAsia" w:ascii="宋体" w:hAnsi="宋体" w:cs="宋体"/>
          <w:kern w:val="0"/>
          <w:sz w:val="21"/>
          <w:szCs w:val="21"/>
          <w:lang w:val="zh-CN"/>
        </w:rPr>
        <w:t>采购代理机构</w:t>
      </w:r>
      <w:r>
        <w:rPr>
          <w:rFonts w:hint="eastAsia" w:ascii="宋体" w:hAnsi="宋体" w:cs="宋体"/>
          <w:kern w:val="0"/>
          <w:sz w:val="21"/>
          <w:szCs w:val="21"/>
        </w:rPr>
        <w:t>应当将变更、重新组建评标委员会的情况予以记录，并随招标文件一并存档。</w:t>
      </w:r>
    </w:p>
    <w:p w14:paraId="05479AA8">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8</w:t>
      </w:r>
      <w:r>
        <w:rPr>
          <w:rFonts w:hint="eastAsia" w:ascii="宋体" w:hAnsi="宋体" w:cs="宋体"/>
          <w:kern w:val="0"/>
          <w:sz w:val="21"/>
          <w:szCs w:val="21"/>
          <w:lang w:val="zh-CN"/>
        </w:rPr>
        <w:t>.</w:t>
      </w:r>
      <w:r>
        <w:rPr>
          <w:rFonts w:hint="eastAsia" w:ascii="宋体" w:hAnsi="宋体" w:cs="宋体"/>
          <w:kern w:val="0"/>
          <w:sz w:val="21"/>
          <w:szCs w:val="21"/>
        </w:rPr>
        <w:t>6 采购人、采购代理机构应当采取必要措施，保证评标在严格保密的情况下进行。除采购人代表、评标现场组织人员外，采购人的其他工作人员以及与评标工作无关的人员不得进入评标现场。</w:t>
      </w:r>
    </w:p>
    <w:p w14:paraId="1AB4389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有关人员对评标情况以及在评标过程中获悉的国家秘密、商业秘密负有保密责任。</w:t>
      </w:r>
    </w:p>
    <w:p w14:paraId="032051F7">
      <w:pPr>
        <w:spacing w:line="360" w:lineRule="auto"/>
        <w:outlineLvl w:val="2"/>
        <w:rPr>
          <w:rFonts w:ascii="宋体" w:hAnsi="宋体" w:cs="宋体"/>
          <w:b/>
          <w:bCs/>
          <w:sz w:val="21"/>
          <w:szCs w:val="21"/>
          <w:lang w:val="zh-CN"/>
        </w:rPr>
      </w:pPr>
      <w:bookmarkStart w:id="645" w:name="_Toc4676"/>
      <w:bookmarkStart w:id="646" w:name="_Toc13456"/>
      <w:bookmarkStart w:id="647" w:name="_Toc31509"/>
      <w:bookmarkStart w:id="648" w:name="_Toc9509"/>
      <w:bookmarkStart w:id="649" w:name="_Toc8432"/>
      <w:bookmarkStart w:id="650" w:name="_Toc31505"/>
      <w:bookmarkStart w:id="651" w:name="_Toc19042"/>
      <w:bookmarkStart w:id="652" w:name="_Toc4658"/>
      <w:bookmarkStart w:id="653" w:name="_Toc30275"/>
      <w:bookmarkStart w:id="654" w:name="_Toc28568"/>
      <w:bookmarkStart w:id="655" w:name="_Toc5045"/>
      <w:bookmarkStart w:id="656" w:name="_Toc23095"/>
      <w:bookmarkStart w:id="657" w:name="_Toc14826"/>
      <w:bookmarkStart w:id="658" w:name="_Toc13782"/>
      <w:bookmarkStart w:id="659" w:name="_Toc10411"/>
      <w:bookmarkStart w:id="660" w:name="_Toc17485_WPSOffice_Level3"/>
      <w:bookmarkStart w:id="661" w:name="_Toc3955"/>
      <w:bookmarkStart w:id="662" w:name="_Toc4509"/>
      <w:bookmarkStart w:id="663" w:name="_Toc2371"/>
      <w:bookmarkStart w:id="664" w:name="_Toc23655"/>
      <w:bookmarkStart w:id="665" w:name="_Toc10936"/>
      <w:r>
        <w:rPr>
          <w:rFonts w:hint="eastAsia" w:ascii="宋体" w:hAnsi="宋体" w:cs="宋体"/>
          <w:b/>
          <w:bCs/>
          <w:sz w:val="21"/>
          <w:szCs w:val="21"/>
          <w:lang w:val="zh-CN"/>
        </w:rPr>
        <w:t>19、评审工作程序</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9E2AFE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bCs/>
          <w:kern w:val="0"/>
          <w:sz w:val="21"/>
          <w:szCs w:val="21"/>
          <w:lang w:val="zh-CN"/>
        </w:rPr>
        <w:t>1</w:t>
      </w:r>
      <w:r>
        <w:rPr>
          <w:rFonts w:hint="eastAsia" w:ascii="宋体" w:hAnsi="宋体" w:cs="宋体"/>
          <w:bCs/>
          <w:kern w:val="0"/>
          <w:sz w:val="21"/>
          <w:szCs w:val="21"/>
        </w:rPr>
        <w:t>9</w:t>
      </w:r>
      <w:r>
        <w:rPr>
          <w:rFonts w:hint="eastAsia" w:ascii="宋体" w:hAnsi="宋体" w:cs="宋体"/>
          <w:bCs/>
          <w:kern w:val="0"/>
          <w:sz w:val="21"/>
          <w:szCs w:val="21"/>
          <w:lang w:val="zh-CN"/>
        </w:rPr>
        <w:t>.1</w:t>
      </w:r>
      <w:r>
        <w:rPr>
          <w:rFonts w:hint="eastAsia" w:ascii="宋体" w:hAnsi="宋体" w:cs="宋体"/>
          <w:kern w:val="0"/>
          <w:sz w:val="21"/>
          <w:szCs w:val="21"/>
        </w:rPr>
        <w:t xml:space="preserve"> </w:t>
      </w:r>
      <w:r>
        <w:rPr>
          <w:rFonts w:hint="eastAsia" w:ascii="宋体" w:hAnsi="宋体" w:cs="宋体"/>
          <w:kern w:val="0"/>
          <w:sz w:val="21"/>
          <w:szCs w:val="21"/>
          <w:lang w:val="zh-CN"/>
        </w:rPr>
        <w:t>评标委员会应当对符合资格的供应商的符合性文件进行评审，以确定其是否满足招标文件的实质性要求。</w:t>
      </w:r>
    </w:p>
    <w:p w14:paraId="64B3A7E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19.1.1</w:t>
      </w:r>
      <w:r>
        <w:rPr>
          <w:rFonts w:hint="eastAsia" w:ascii="宋体" w:hAnsi="宋体" w:cs="宋体"/>
          <w:b/>
          <w:bCs/>
          <w:kern w:val="0"/>
          <w:sz w:val="21"/>
          <w:szCs w:val="21"/>
        </w:rPr>
        <w:t xml:space="preserve"> </w:t>
      </w:r>
      <w:r>
        <w:rPr>
          <w:rFonts w:hint="eastAsia" w:ascii="宋体" w:hAnsi="宋体" w:cs="宋体"/>
          <w:kern w:val="0"/>
          <w:sz w:val="21"/>
          <w:szCs w:val="21"/>
          <w:lang w:val="zh-CN"/>
        </w:rPr>
        <w:t>投标文件中含义不明确、同类问题表述不一致或者有明显文字和计算错误的内容，评标委员会应当以书面形式要求供应商作出必要的澄清、说明或者补正。</w:t>
      </w:r>
    </w:p>
    <w:p w14:paraId="79FE8BB9">
      <w:pPr>
        <w:autoSpaceDE w:val="0"/>
        <w:autoSpaceDN w:val="0"/>
        <w:spacing w:line="360" w:lineRule="auto"/>
        <w:ind w:firstLine="420" w:firstLineChars="200"/>
        <w:rPr>
          <w:rFonts w:ascii="宋体" w:hAnsi="宋体" w:cs="宋体"/>
          <w:b/>
          <w:bCs/>
          <w:kern w:val="0"/>
          <w:sz w:val="21"/>
          <w:szCs w:val="21"/>
        </w:rPr>
      </w:pPr>
      <w:r>
        <w:rPr>
          <w:rFonts w:hint="eastAsia" w:ascii="宋体" w:hAnsi="宋体" w:cs="宋体"/>
          <w:kern w:val="0"/>
          <w:sz w:val="21"/>
          <w:szCs w:val="21"/>
          <w:lang w:val="zh-CN"/>
        </w:rPr>
        <w:t>供应商的澄清、说明或者补正应当采用书面形式，并加盖公章，或者由法定代表人或其授权的代表签字。供应商的澄清、说明或者补正不得超出投标文件的范围或者改变投标文件的实质性内容。</w:t>
      </w:r>
    </w:p>
    <w:p w14:paraId="2898030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1</w:t>
      </w:r>
      <w:r>
        <w:rPr>
          <w:rFonts w:hint="eastAsia" w:ascii="宋体" w:hAnsi="宋体" w:cs="宋体"/>
          <w:kern w:val="0"/>
          <w:sz w:val="21"/>
          <w:szCs w:val="21"/>
          <w:lang w:val="zh-CN"/>
        </w:rPr>
        <w:t>.2供应商符合性审查未通过的，其投标无效，符合性评审标准如下：</w:t>
      </w:r>
    </w:p>
    <w:p w14:paraId="671BB8C8">
      <w:pPr>
        <w:autoSpaceDE w:val="0"/>
        <w:autoSpaceDN w:val="0"/>
        <w:spacing w:line="360" w:lineRule="auto"/>
        <w:rPr>
          <w:b/>
          <w:sz w:val="21"/>
          <w:szCs w:val="21"/>
        </w:rPr>
      </w:pPr>
      <w:r>
        <w:rPr>
          <w:rFonts w:hint="eastAsia"/>
          <w:b/>
          <w:sz w:val="21"/>
          <w:szCs w:val="21"/>
        </w:rPr>
        <w:t>符合性评审表：</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226"/>
        <w:gridCol w:w="2344"/>
        <w:gridCol w:w="5788"/>
      </w:tblGrid>
      <w:tr w14:paraId="5CDF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95" w:type="pct"/>
            <w:gridSpan w:val="2"/>
            <w:vAlign w:val="center"/>
          </w:tcPr>
          <w:p w14:paraId="74DD9B80">
            <w:pPr>
              <w:spacing w:line="360" w:lineRule="auto"/>
              <w:jc w:val="center"/>
              <w:rPr>
                <w:rFonts w:ascii="宋体" w:hAnsi="宋体" w:cs="宋体"/>
                <w:sz w:val="21"/>
                <w:szCs w:val="21"/>
              </w:rPr>
            </w:pPr>
            <w:r>
              <w:rPr>
                <w:rFonts w:hint="eastAsia" w:ascii="宋体" w:hAnsi="宋体" w:cs="宋体"/>
                <w:sz w:val="21"/>
                <w:szCs w:val="21"/>
              </w:rPr>
              <w:t>条款号</w:t>
            </w:r>
          </w:p>
        </w:tc>
        <w:tc>
          <w:tcPr>
            <w:tcW w:w="1183" w:type="pct"/>
            <w:vAlign w:val="center"/>
          </w:tcPr>
          <w:p w14:paraId="5B5D8CC1">
            <w:pPr>
              <w:spacing w:line="360" w:lineRule="auto"/>
              <w:jc w:val="center"/>
              <w:rPr>
                <w:rFonts w:ascii="宋体" w:hAnsi="宋体" w:cs="宋体"/>
                <w:sz w:val="21"/>
                <w:szCs w:val="21"/>
              </w:rPr>
            </w:pPr>
            <w:r>
              <w:rPr>
                <w:rFonts w:hint="eastAsia" w:ascii="宋体" w:hAnsi="宋体" w:cs="宋体"/>
                <w:sz w:val="21"/>
                <w:szCs w:val="21"/>
              </w:rPr>
              <w:t>评审因素</w:t>
            </w:r>
          </w:p>
        </w:tc>
        <w:tc>
          <w:tcPr>
            <w:tcW w:w="2921" w:type="pct"/>
            <w:vAlign w:val="center"/>
          </w:tcPr>
          <w:p w14:paraId="27747468">
            <w:pPr>
              <w:spacing w:line="360" w:lineRule="auto"/>
              <w:jc w:val="center"/>
              <w:rPr>
                <w:rFonts w:ascii="宋体" w:hAnsi="宋体" w:cs="宋体"/>
                <w:sz w:val="21"/>
                <w:szCs w:val="21"/>
              </w:rPr>
            </w:pPr>
            <w:r>
              <w:rPr>
                <w:rFonts w:hint="eastAsia" w:ascii="宋体" w:hAnsi="宋体" w:cs="宋体"/>
                <w:sz w:val="21"/>
                <w:szCs w:val="21"/>
              </w:rPr>
              <w:t>评审标准</w:t>
            </w:r>
          </w:p>
        </w:tc>
      </w:tr>
      <w:tr w14:paraId="2F426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2" w:hRule="atLeast"/>
          <w:jc w:val="center"/>
        </w:trPr>
        <w:tc>
          <w:tcPr>
            <w:tcW w:w="276" w:type="pct"/>
            <w:vMerge w:val="restart"/>
            <w:vAlign w:val="center"/>
          </w:tcPr>
          <w:p w14:paraId="4F67AB5C">
            <w:pPr>
              <w:spacing w:line="360" w:lineRule="auto"/>
              <w:jc w:val="center"/>
              <w:rPr>
                <w:rFonts w:ascii="宋体" w:hAnsi="宋体" w:cs="宋体"/>
                <w:bCs/>
                <w:sz w:val="21"/>
                <w:szCs w:val="21"/>
              </w:rPr>
            </w:pPr>
            <w:r>
              <w:rPr>
                <w:rFonts w:hint="eastAsia" w:ascii="宋体" w:hAnsi="宋体" w:cs="宋体"/>
                <w:bCs/>
                <w:sz w:val="21"/>
                <w:szCs w:val="21"/>
              </w:rPr>
              <w:t>1</w:t>
            </w:r>
          </w:p>
        </w:tc>
        <w:tc>
          <w:tcPr>
            <w:tcW w:w="618" w:type="pct"/>
            <w:vMerge w:val="restart"/>
            <w:vAlign w:val="center"/>
          </w:tcPr>
          <w:p w14:paraId="4B50CEF5">
            <w:pPr>
              <w:spacing w:line="360" w:lineRule="auto"/>
              <w:jc w:val="center"/>
              <w:rPr>
                <w:rFonts w:ascii="宋体" w:hAnsi="宋体" w:cs="宋体"/>
                <w:bCs/>
                <w:sz w:val="21"/>
                <w:szCs w:val="21"/>
              </w:rPr>
            </w:pPr>
            <w:r>
              <w:rPr>
                <w:rFonts w:hint="eastAsia" w:ascii="宋体" w:hAnsi="宋体" w:cs="宋体"/>
                <w:bCs/>
                <w:sz w:val="21"/>
                <w:szCs w:val="21"/>
              </w:rPr>
              <w:t>形式评审</w:t>
            </w:r>
          </w:p>
          <w:p w14:paraId="288714DE">
            <w:pPr>
              <w:spacing w:line="360" w:lineRule="auto"/>
              <w:jc w:val="center"/>
              <w:rPr>
                <w:rFonts w:ascii="宋体" w:hAnsi="宋体" w:cs="宋体"/>
                <w:bCs/>
                <w:sz w:val="21"/>
                <w:szCs w:val="21"/>
              </w:rPr>
            </w:pPr>
            <w:r>
              <w:rPr>
                <w:rFonts w:hint="eastAsia" w:ascii="宋体" w:hAnsi="宋体" w:cs="宋体"/>
                <w:bCs/>
                <w:sz w:val="21"/>
                <w:szCs w:val="21"/>
              </w:rPr>
              <w:t>标准</w:t>
            </w:r>
          </w:p>
        </w:tc>
        <w:tc>
          <w:tcPr>
            <w:tcW w:w="1183" w:type="pct"/>
            <w:vAlign w:val="center"/>
          </w:tcPr>
          <w:p w14:paraId="3BC71676">
            <w:pPr>
              <w:spacing w:line="360" w:lineRule="auto"/>
              <w:jc w:val="center"/>
              <w:rPr>
                <w:rFonts w:ascii="宋体" w:hAnsi="宋体"/>
                <w:sz w:val="21"/>
                <w:szCs w:val="21"/>
              </w:rPr>
            </w:pPr>
            <w:r>
              <w:rPr>
                <w:rFonts w:hint="eastAsia" w:ascii="宋体" w:hAnsi="宋体"/>
                <w:sz w:val="21"/>
                <w:szCs w:val="21"/>
                <w:lang w:eastAsia="zh-CN"/>
              </w:rPr>
              <w:t>供应商</w:t>
            </w:r>
            <w:r>
              <w:rPr>
                <w:rFonts w:ascii="宋体" w:hAnsi="宋体"/>
                <w:sz w:val="21"/>
                <w:szCs w:val="21"/>
              </w:rPr>
              <w:t>名称</w:t>
            </w:r>
          </w:p>
        </w:tc>
        <w:tc>
          <w:tcPr>
            <w:tcW w:w="2921" w:type="pct"/>
            <w:vAlign w:val="center"/>
          </w:tcPr>
          <w:p w14:paraId="41F01DD6">
            <w:pPr>
              <w:spacing w:line="360" w:lineRule="auto"/>
              <w:jc w:val="center"/>
              <w:rPr>
                <w:rFonts w:ascii="宋体" w:hAnsi="宋体"/>
                <w:sz w:val="21"/>
                <w:szCs w:val="21"/>
              </w:rPr>
            </w:pPr>
            <w:r>
              <w:rPr>
                <w:rFonts w:ascii="宋体" w:hAnsi="宋体"/>
                <w:sz w:val="21"/>
                <w:szCs w:val="21"/>
              </w:rPr>
              <w:t>与营业执照一致</w:t>
            </w:r>
          </w:p>
        </w:tc>
      </w:tr>
      <w:tr w14:paraId="0C22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276" w:type="pct"/>
            <w:vMerge w:val="continue"/>
            <w:vAlign w:val="center"/>
          </w:tcPr>
          <w:p w14:paraId="0E8B0CE5">
            <w:pPr>
              <w:spacing w:line="360" w:lineRule="auto"/>
              <w:jc w:val="center"/>
              <w:rPr>
                <w:rFonts w:ascii="宋体" w:hAnsi="宋体" w:cs="宋体"/>
                <w:bCs/>
                <w:sz w:val="21"/>
                <w:szCs w:val="21"/>
              </w:rPr>
            </w:pPr>
          </w:p>
        </w:tc>
        <w:tc>
          <w:tcPr>
            <w:tcW w:w="618" w:type="pct"/>
            <w:vMerge w:val="continue"/>
            <w:vAlign w:val="center"/>
          </w:tcPr>
          <w:p w14:paraId="172CBE61">
            <w:pPr>
              <w:spacing w:line="360" w:lineRule="auto"/>
              <w:jc w:val="center"/>
              <w:rPr>
                <w:rFonts w:ascii="宋体" w:hAnsi="宋体" w:cs="宋体"/>
                <w:bCs/>
                <w:sz w:val="21"/>
                <w:szCs w:val="21"/>
              </w:rPr>
            </w:pPr>
          </w:p>
        </w:tc>
        <w:tc>
          <w:tcPr>
            <w:tcW w:w="1183" w:type="pct"/>
            <w:vAlign w:val="center"/>
          </w:tcPr>
          <w:p w14:paraId="02A17781">
            <w:pPr>
              <w:spacing w:line="360" w:lineRule="auto"/>
              <w:jc w:val="center"/>
              <w:rPr>
                <w:rFonts w:ascii="宋体" w:hAnsi="宋体"/>
                <w:sz w:val="21"/>
                <w:szCs w:val="21"/>
              </w:rPr>
            </w:pPr>
            <w:r>
              <w:rPr>
                <w:rFonts w:ascii="宋体" w:hAnsi="宋体"/>
                <w:sz w:val="21"/>
                <w:szCs w:val="21"/>
              </w:rPr>
              <w:t>投标文件格式</w:t>
            </w:r>
          </w:p>
        </w:tc>
        <w:tc>
          <w:tcPr>
            <w:tcW w:w="2921" w:type="pct"/>
            <w:vAlign w:val="center"/>
          </w:tcPr>
          <w:p w14:paraId="3C2A9671">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第四部分</w:t>
            </w:r>
            <w:r>
              <w:rPr>
                <w:rFonts w:ascii="宋体" w:hAnsi="宋体"/>
                <w:sz w:val="21"/>
                <w:szCs w:val="21"/>
              </w:rPr>
              <w:t>“投标文件格式”的要求</w:t>
            </w:r>
          </w:p>
        </w:tc>
      </w:tr>
      <w:tr w14:paraId="3AB5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276" w:type="pct"/>
            <w:vMerge w:val="continue"/>
            <w:vAlign w:val="center"/>
          </w:tcPr>
          <w:p w14:paraId="374D1B8C">
            <w:pPr>
              <w:spacing w:line="360" w:lineRule="auto"/>
              <w:jc w:val="center"/>
              <w:rPr>
                <w:rFonts w:ascii="宋体" w:hAnsi="宋体" w:cs="宋体"/>
                <w:bCs/>
                <w:sz w:val="21"/>
                <w:szCs w:val="21"/>
              </w:rPr>
            </w:pPr>
          </w:p>
        </w:tc>
        <w:tc>
          <w:tcPr>
            <w:tcW w:w="618" w:type="pct"/>
            <w:vMerge w:val="continue"/>
            <w:vAlign w:val="center"/>
          </w:tcPr>
          <w:p w14:paraId="04207466">
            <w:pPr>
              <w:spacing w:line="360" w:lineRule="auto"/>
              <w:jc w:val="center"/>
              <w:rPr>
                <w:rFonts w:ascii="宋体" w:hAnsi="宋体" w:cs="宋体"/>
                <w:bCs/>
                <w:sz w:val="21"/>
                <w:szCs w:val="21"/>
              </w:rPr>
            </w:pPr>
          </w:p>
        </w:tc>
        <w:tc>
          <w:tcPr>
            <w:tcW w:w="1183" w:type="pct"/>
            <w:vAlign w:val="center"/>
          </w:tcPr>
          <w:p w14:paraId="6F6ED94D">
            <w:pPr>
              <w:spacing w:line="360" w:lineRule="auto"/>
              <w:jc w:val="center"/>
              <w:rPr>
                <w:rFonts w:ascii="宋体" w:hAnsi="宋体"/>
                <w:sz w:val="21"/>
                <w:szCs w:val="21"/>
              </w:rPr>
            </w:pPr>
            <w:r>
              <w:rPr>
                <w:rFonts w:ascii="宋体" w:hAnsi="宋体"/>
                <w:sz w:val="21"/>
                <w:szCs w:val="21"/>
              </w:rPr>
              <w:t>报价唯一</w:t>
            </w:r>
          </w:p>
        </w:tc>
        <w:tc>
          <w:tcPr>
            <w:tcW w:w="2921" w:type="pct"/>
            <w:vAlign w:val="center"/>
          </w:tcPr>
          <w:p w14:paraId="546EC1D3">
            <w:pPr>
              <w:spacing w:line="360" w:lineRule="auto"/>
              <w:jc w:val="center"/>
              <w:rPr>
                <w:rFonts w:ascii="宋体" w:hAnsi="宋体"/>
                <w:sz w:val="21"/>
                <w:szCs w:val="21"/>
              </w:rPr>
            </w:pPr>
            <w:r>
              <w:rPr>
                <w:rFonts w:ascii="宋体" w:hAnsi="宋体"/>
                <w:sz w:val="21"/>
                <w:szCs w:val="21"/>
              </w:rPr>
              <w:t>只能有一个有效报价</w:t>
            </w:r>
            <w:r>
              <w:rPr>
                <w:rFonts w:hint="eastAsia" w:ascii="宋体" w:hAnsi="宋体"/>
                <w:sz w:val="21"/>
                <w:szCs w:val="21"/>
              </w:rPr>
              <w:t>且未超过招标控制价</w:t>
            </w:r>
          </w:p>
        </w:tc>
      </w:tr>
      <w:tr w14:paraId="41B8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276" w:type="pct"/>
            <w:vMerge w:val="restart"/>
            <w:vAlign w:val="center"/>
          </w:tcPr>
          <w:p w14:paraId="7BFC9AC7">
            <w:pPr>
              <w:spacing w:line="360" w:lineRule="auto"/>
              <w:ind w:left="113" w:right="113"/>
              <w:jc w:val="center"/>
              <w:rPr>
                <w:rFonts w:ascii="宋体" w:hAnsi="宋体" w:cs="宋体"/>
                <w:bCs/>
                <w:sz w:val="21"/>
                <w:szCs w:val="21"/>
              </w:rPr>
            </w:pPr>
            <w:r>
              <w:rPr>
                <w:rFonts w:hint="eastAsia" w:ascii="宋体" w:hAnsi="宋体" w:cs="宋体"/>
                <w:bCs/>
                <w:sz w:val="21"/>
                <w:szCs w:val="21"/>
              </w:rPr>
              <w:t>2</w:t>
            </w:r>
          </w:p>
        </w:tc>
        <w:tc>
          <w:tcPr>
            <w:tcW w:w="618" w:type="pct"/>
            <w:vMerge w:val="restart"/>
            <w:vAlign w:val="center"/>
          </w:tcPr>
          <w:p w14:paraId="64317D8B">
            <w:pPr>
              <w:spacing w:line="360" w:lineRule="auto"/>
              <w:jc w:val="center"/>
              <w:rPr>
                <w:rFonts w:ascii="宋体" w:hAnsi="宋体" w:cs="宋体"/>
                <w:bCs/>
                <w:sz w:val="21"/>
                <w:szCs w:val="21"/>
              </w:rPr>
            </w:pPr>
            <w:r>
              <w:rPr>
                <w:rFonts w:hint="eastAsia" w:ascii="宋体" w:hAnsi="宋体" w:cs="宋体"/>
                <w:bCs/>
                <w:sz w:val="21"/>
                <w:szCs w:val="21"/>
              </w:rPr>
              <w:t>响应性评审标准</w:t>
            </w:r>
          </w:p>
        </w:tc>
        <w:tc>
          <w:tcPr>
            <w:tcW w:w="1183" w:type="pct"/>
            <w:vAlign w:val="center"/>
          </w:tcPr>
          <w:p w14:paraId="5A682D9C">
            <w:pPr>
              <w:spacing w:line="360" w:lineRule="auto"/>
              <w:jc w:val="center"/>
              <w:rPr>
                <w:rFonts w:ascii="宋体" w:hAnsi="宋体"/>
                <w:sz w:val="21"/>
                <w:szCs w:val="21"/>
              </w:rPr>
            </w:pPr>
            <w:r>
              <w:rPr>
                <w:rFonts w:hint="eastAsia" w:ascii="宋体" w:hAnsi="宋体" w:cs="宋体"/>
                <w:sz w:val="21"/>
                <w:szCs w:val="21"/>
              </w:rPr>
              <w:t>供货及安装期</w:t>
            </w:r>
          </w:p>
        </w:tc>
        <w:tc>
          <w:tcPr>
            <w:tcW w:w="2921" w:type="pct"/>
            <w:vAlign w:val="center"/>
          </w:tcPr>
          <w:p w14:paraId="24606018">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21E5D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76" w:type="pct"/>
            <w:vMerge w:val="continue"/>
            <w:textDirection w:val="tbRlV"/>
            <w:vAlign w:val="center"/>
          </w:tcPr>
          <w:p w14:paraId="67036CAF">
            <w:pPr>
              <w:spacing w:line="360" w:lineRule="auto"/>
              <w:jc w:val="center"/>
              <w:rPr>
                <w:rFonts w:ascii="宋体" w:hAnsi="宋体" w:cs="宋体"/>
                <w:bCs/>
                <w:sz w:val="21"/>
                <w:szCs w:val="21"/>
              </w:rPr>
            </w:pPr>
          </w:p>
        </w:tc>
        <w:tc>
          <w:tcPr>
            <w:tcW w:w="618" w:type="pct"/>
            <w:vMerge w:val="continue"/>
            <w:textDirection w:val="tbRlV"/>
            <w:vAlign w:val="center"/>
          </w:tcPr>
          <w:p w14:paraId="75EEBC97">
            <w:pPr>
              <w:spacing w:line="360" w:lineRule="auto"/>
              <w:jc w:val="center"/>
              <w:rPr>
                <w:rFonts w:ascii="宋体" w:hAnsi="宋体" w:cs="宋体"/>
                <w:bCs/>
                <w:sz w:val="21"/>
                <w:szCs w:val="21"/>
              </w:rPr>
            </w:pPr>
          </w:p>
        </w:tc>
        <w:tc>
          <w:tcPr>
            <w:tcW w:w="1183" w:type="pct"/>
            <w:vAlign w:val="center"/>
          </w:tcPr>
          <w:p w14:paraId="6E6B52EE">
            <w:pPr>
              <w:spacing w:line="360" w:lineRule="auto"/>
              <w:jc w:val="center"/>
              <w:rPr>
                <w:rFonts w:ascii="宋体" w:hAnsi="宋体"/>
                <w:sz w:val="21"/>
                <w:szCs w:val="21"/>
              </w:rPr>
            </w:pPr>
            <w:r>
              <w:rPr>
                <w:rFonts w:ascii="宋体" w:hAnsi="宋体"/>
                <w:sz w:val="21"/>
                <w:szCs w:val="21"/>
              </w:rPr>
              <w:t>质量</w:t>
            </w:r>
            <w:r>
              <w:rPr>
                <w:rFonts w:hint="eastAsia" w:ascii="宋体" w:hAnsi="宋体"/>
                <w:sz w:val="21"/>
                <w:szCs w:val="21"/>
              </w:rPr>
              <w:t>要求</w:t>
            </w:r>
          </w:p>
        </w:tc>
        <w:tc>
          <w:tcPr>
            <w:tcW w:w="2921" w:type="pct"/>
            <w:vAlign w:val="center"/>
          </w:tcPr>
          <w:p w14:paraId="5B01E9AA">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6FE8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76" w:type="pct"/>
            <w:vMerge w:val="continue"/>
            <w:textDirection w:val="tbRlV"/>
            <w:vAlign w:val="center"/>
          </w:tcPr>
          <w:p w14:paraId="374B1020">
            <w:pPr>
              <w:spacing w:line="360" w:lineRule="auto"/>
              <w:jc w:val="center"/>
              <w:rPr>
                <w:rFonts w:ascii="宋体" w:hAnsi="宋体" w:cs="宋体"/>
                <w:bCs/>
                <w:sz w:val="21"/>
                <w:szCs w:val="21"/>
              </w:rPr>
            </w:pPr>
          </w:p>
        </w:tc>
        <w:tc>
          <w:tcPr>
            <w:tcW w:w="618" w:type="pct"/>
            <w:vMerge w:val="continue"/>
            <w:textDirection w:val="tbRlV"/>
            <w:vAlign w:val="center"/>
          </w:tcPr>
          <w:p w14:paraId="666CD3AB">
            <w:pPr>
              <w:spacing w:line="360" w:lineRule="auto"/>
              <w:jc w:val="center"/>
              <w:rPr>
                <w:rFonts w:ascii="宋体" w:hAnsi="宋体" w:cs="宋体"/>
                <w:bCs/>
                <w:sz w:val="21"/>
                <w:szCs w:val="21"/>
              </w:rPr>
            </w:pPr>
          </w:p>
        </w:tc>
        <w:tc>
          <w:tcPr>
            <w:tcW w:w="1183" w:type="pct"/>
            <w:shd w:val="clear" w:color="auto" w:fill="auto"/>
            <w:vAlign w:val="center"/>
          </w:tcPr>
          <w:p w14:paraId="7075A546">
            <w:pPr>
              <w:spacing w:line="360" w:lineRule="auto"/>
              <w:jc w:val="center"/>
              <w:rPr>
                <w:rFonts w:ascii="宋体" w:hAnsi="宋体"/>
                <w:sz w:val="21"/>
                <w:szCs w:val="21"/>
              </w:rPr>
            </w:pPr>
            <w:r>
              <w:rPr>
                <w:rFonts w:ascii="宋体" w:hAnsi="宋体"/>
                <w:sz w:val="21"/>
                <w:szCs w:val="21"/>
              </w:rPr>
              <w:t>投标有效期</w:t>
            </w:r>
          </w:p>
        </w:tc>
        <w:tc>
          <w:tcPr>
            <w:tcW w:w="2921" w:type="pct"/>
            <w:shd w:val="clear" w:color="auto" w:fill="auto"/>
            <w:vAlign w:val="center"/>
          </w:tcPr>
          <w:p w14:paraId="37668C6F">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42EB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276" w:type="pct"/>
            <w:vMerge w:val="continue"/>
            <w:vAlign w:val="center"/>
          </w:tcPr>
          <w:p w14:paraId="249CC359">
            <w:pPr>
              <w:spacing w:line="360" w:lineRule="auto"/>
              <w:jc w:val="center"/>
              <w:rPr>
                <w:rFonts w:ascii="宋体" w:hAnsi="宋体" w:cs="宋体"/>
                <w:bCs/>
                <w:sz w:val="21"/>
                <w:szCs w:val="21"/>
              </w:rPr>
            </w:pPr>
          </w:p>
        </w:tc>
        <w:tc>
          <w:tcPr>
            <w:tcW w:w="618" w:type="pct"/>
            <w:vMerge w:val="continue"/>
            <w:vAlign w:val="center"/>
          </w:tcPr>
          <w:p w14:paraId="281F67F0">
            <w:pPr>
              <w:spacing w:line="360" w:lineRule="auto"/>
              <w:jc w:val="center"/>
              <w:rPr>
                <w:rFonts w:ascii="宋体" w:hAnsi="宋体" w:cs="宋体"/>
                <w:bCs/>
                <w:sz w:val="21"/>
                <w:szCs w:val="21"/>
              </w:rPr>
            </w:pPr>
          </w:p>
        </w:tc>
        <w:tc>
          <w:tcPr>
            <w:tcW w:w="1183" w:type="pct"/>
            <w:vAlign w:val="center"/>
          </w:tcPr>
          <w:p w14:paraId="22C79D0A">
            <w:pPr>
              <w:spacing w:line="360" w:lineRule="auto"/>
              <w:jc w:val="center"/>
              <w:rPr>
                <w:rFonts w:ascii="宋体" w:hAnsi="宋体"/>
                <w:sz w:val="21"/>
                <w:szCs w:val="21"/>
              </w:rPr>
            </w:pPr>
            <w:r>
              <w:rPr>
                <w:rFonts w:hint="eastAsia" w:ascii="宋体" w:hAnsi="宋体"/>
                <w:sz w:val="21"/>
                <w:szCs w:val="21"/>
              </w:rPr>
              <w:t>其他实质性内容</w:t>
            </w:r>
          </w:p>
        </w:tc>
        <w:tc>
          <w:tcPr>
            <w:tcW w:w="2921" w:type="pct"/>
            <w:vAlign w:val="center"/>
          </w:tcPr>
          <w:p w14:paraId="4BC2DB23">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bl>
    <w:p w14:paraId="75B5D9D6">
      <w:pPr>
        <w:autoSpaceDE w:val="0"/>
        <w:autoSpaceDN w:val="0"/>
        <w:spacing w:line="360" w:lineRule="auto"/>
        <w:ind w:firstLine="422" w:firstLineChars="200"/>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注：1.本项目所采购产品属于《强制性产品认证目录描述与界定表（2023 年修订）》范围，供应商须在投标文件中提供3C认证证书扫描件，否则投标无效。</w:t>
      </w:r>
    </w:p>
    <w:p w14:paraId="44269394">
      <w:pPr>
        <w:autoSpaceDE w:val="0"/>
        <w:autoSpaceDN w:val="0"/>
        <w:spacing w:line="360" w:lineRule="auto"/>
        <w:ind w:firstLine="422" w:firstLineChars="200"/>
        <w:rPr>
          <w:rFonts w:hint="default"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2.本项目所采购产品属于《节能产品政府采购品目清单》中标注“</w:t>
      </w:r>
      <w:r>
        <w:rPr>
          <w:rFonts w:hint="eastAsia" w:ascii="宋体" w:hAnsi="宋体" w:eastAsia="宋体" w:cs="宋体"/>
          <w:b/>
          <w:bCs/>
          <w:color w:val="auto"/>
          <w:kern w:val="0"/>
          <w:sz w:val="21"/>
          <w:szCs w:val="21"/>
          <w:highlight w:val="none"/>
          <w:lang w:val="en-US" w:eastAsia="zh-CN"/>
        </w:rPr>
        <w:t>★</w:t>
      </w:r>
      <w:r>
        <w:rPr>
          <w:rFonts w:hint="eastAsia" w:ascii="宋体" w:hAnsi="宋体" w:cs="宋体"/>
          <w:b/>
          <w:bCs/>
          <w:color w:val="auto"/>
          <w:kern w:val="0"/>
          <w:sz w:val="21"/>
          <w:szCs w:val="21"/>
          <w:highlight w:val="none"/>
          <w:lang w:val="en-US" w:eastAsia="zh-CN"/>
        </w:rPr>
        <w:t>”的强制采购节能产品，供应商须在投标文件中提供由国家确定的认证机构出具的、处于有效期之内的节能产品认证证书扫描件，否则投标无效。</w:t>
      </w:r>
    </w:p>
    <w:p w14:paraId="61E4E2E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对投标无效的</w:t>
      </w:r>
      <w:r>
        <w:rPr>
          <w:rFonts w:hint="eastAsia" w:ascii="宋体" w:hAnsi="宋体" w:cs="宋体"/>
          <w:kern w:val="0"/>
          <w:sz w:val="21"/>
          <w:szCs w:val="21"/>
          <w:lang w:eastAsia="zh-CN"/>
        </w:rPr>
        <w:t>供应商</w:t>
      </w:r>
      <w:r>
        <w:rPr>
          <w:rFonts w:hint="eastAsia" w:ascii="宋体" w:hAnsi="宋体" w:cs="宋体"/>
          <w:kern w:val="0"/>
          <w:sz w:val="21"/>
          <w:szCs w:val="21"/>
        </w:rPr>
        <w:t>，采购人或采购代理机构应当告知其投标无效的原因。</w:t>
      </w:r>
    </w:p>
    <w:p w14:paraId="7C2B9067">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19.1.3 投标文件报价出现前后不一致的，按照下列规定修正：</w:t>
      </w:r>
    </w:p>
    <w:p w14:paraId="74B42C3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（1）大写金额和小写金额不一致的，以大写金额为准；</w:t>
      </w:r>
    </w:p>
    <w:p w14:paraId="5F9B0EF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（2）单价金额小数点或者百分比有明显错位的，以开标一览表的总价为准，并修改单价；</w:t>
      </w:r>
    </w:p>
    <w:p w14:paraId="159B0B9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（3）总价金额与按单价汇总金额不一致的，以单价金额计算结果为准。</w:t>
      </w:r>
    </w:p>
    <w:p w14:paraId="62C92A0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同时出现两种以上不一致的，按照前款规定的顺序修正。修正后的报价按19.1.1第二款的规定经</w:t>
      </w:r>
      <w:r>
        <w:rPr>
          <w:rFonts w:hint="eastAsia" w:ascii="宋体" w:hAnsi="宋体" w:cs="宋体"/>
          <w:kern w:val="0"/>
          <w:sz w:val="21"/>
          <w:szCs w:val="21"/>
          <w:lang w:eastAsia="zh-CN"/>
        </w:rPr>
        <w:t>供应商</w:t>
      </w:r>
      <w:r>
        <w:rPr>
          <w:rFonts w:hint="eastAsia" w:ascii="宋体" w:hAnsi="宋体" w:cs="宋体"/>
          <w:kern w:val="0"/>
          <w:sz w:val="21"/>
          <w:szCs w:val="21"/>
        </w:rPr>
        <w:t>确认后产生约束力，</w:t>
      </w:r>
      <w:r>
        <w:rPr>
          <w:rFonts w:hint="eastAsia" w:ascii="宋体" w:hAnsi="宋体" w:cs="宋体"/>
          <w:kern w:val="0"/>
          <w:sz w:val="21"/>
          <w:szCs w:val="21"/>
          <w:lang w:eastAsia="zh-CN"/>
        </w:rPr>
        <w:t>供应商</w:t>
      </w:r>
      <w:r>
        <w:rPr>
          <w:rFonts w:hint="eastAsia" w:ascii="宋体" w:hAnsi="宋体" w:cs="宋体"/>
          <w:kern w:val="0"/>
          <w:sz w:val="21"/>
          <w:szCs w:val="21"/>
        </w:rPr>
        <w:t>不确认的，其投标无效。</w:t>
      </w:r>
    </w:p>
    <w:p w14:paraId="3B202D95">
      <w:pPr>
        <w:autoSpaceDE w:val="0"/>
        <w:autoSpaceDN w:val="0"/>
        <w:spacing w:line="360" w:lineRule="auto"/>
        <w:ind w:firstLine="420" w:firstLineChars="200"/>
        <w:rPr>
          <w:lang w:val="zh-CN"/>
        </w:rPr>
      </w:pPr>
      <w:r>
        <w:rPr>
          <w:rFonts w:hint="eastAsia" w:ascii="宋体" w:hAnsi="宋体" w:cs="宋体"/>
          <w:kern w:val="0"/>
          <w:sz w:val="21"/>
          <w:szCs w:val="21"/>
        </w:rPr>
        <w:t xml:space="preserve">19.2 </w:t>
      </w:r>
      <w:r>
        <w:rPr>
          <w:rFonts w:hint="eastAsia" w:ascii="宋体" w:hAnsi="宋体" w:cs="宋体"/>
          <w:kern w:val="0"/>
          <w:sz w:val="21"/>
          <w:szCs w:val="21"/>
          <w:lang w:val="zh-CN"/>
        </w:rPr>
        <w:t>评审过程中，在同等条件下，优先采购具有环境标志、节能、自主创新的产品。</w:t>
      </w:r>
    </w:p>
    <w:p w14:paraId="269F2872">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19.3 </w:t>
      </w:r>
      <w:r>
        <w:rPr>
          <w:rFonts w:hint="eastAsia" w:ascii="宋体" w:hAnsi="宋体" w:cs="宋体"/>
          <w:kern w:val="0"/>
          <w:sz w:val="21"/>
          <w:szCs w:val="21"/>
          <w:lang w:val="zh-CN"/>
        </w:rPr>
        <w:t>在评审过程中，</w:t>
      </w:r>
      <w:r>
        <w:rPr>
          <w:rFonts w:hint="eastAsia" w:ascii="宋体" w:hAnsi="宋体" w:cs="宋体"/>
          <w:sz w:val="21"/>
          <w:szCs w:val="21"/>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14:paraId="3431F7B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4</w:t>
      </w:r>
      <w:r>
        <w:rPr>
          <w:rFonts w:hint="eastAsia" w:ascii="宋体" w:hAnsi="宋体" w:cs="宋体"/>
          <w:kern w:val="0"/>
          <w:sz w:val="21"/>
          <w:szCs w:val="21"/>
          <w:lang w:val="zh-CN"/>
        </w:rPr>
        <w:t xml:space="preserve"> </w:t>
      </w:r>
      <w:r>
        <w:rPr>
          <w:rFonts w:hint="eastAsia" w:ascii="宋体" w:hAnsi="宋体" w:cs="宋体"/>
          <w:sz w:val="21"/>
          <w:szCs w:val="21"/>
          <w:shd w:val="clear" w:color="auto" w:fill="FFFFFF"/>
        </w:rPr>
        <w:t>评标委员会应当按照招标文件中规定的评标方法和标准，对符合性审查合格的投标文件进行商务和技术评估，综合比较与评价。</w:t>
      </w:r>
    </w:p>
    <w:p w14:paraId="16B19CF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 xml:space="preserve">5 </w:t>
      </w:r>
      <w:r>
        <w:rPr>
          <w:rFonts w:hint="eastAsia" w:ascii="宋体" w:hAnsi="宋体" w:cs="宋体"/>
          <w:sz w:val="21"/>
          <w:szCs w:val="21"/>
          <w:shd w:val="clear" w:color="auto" w:fill="FFFFFF"/>
        </w:rPr>
        <w:t>评标委员会认为</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的报价明显低于其他通过符合性审查</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的报价，有可能影响产品质量或者不能诚信履约的，应当要求其在评标现场合理的时间(1个小时）内提供书面说明，必要时提交相关证明材料；</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不能证明其报价合理性的，评标委员会应当将其作为无效投标处理。</w:t>
      </w:r>
    </w:p>
    <w:p w14:paraId="67F99BBF">
      <w:pPr>
        <w:spacing w:line="360" w:lineRule="auto"/>
        <w:outlineLvl w:val="2"/>
        <w:rPr>
          <w:rFonts w:ascii="宋体" w:hAnsi="宋体" w:cs="宋体"/>
          <w:b/>
          <w:bCs/>
          <w:sz w:val="21"/>
          <w:szCs w:val="21"/>
          <w:lang w:val="zh-CN"/>
        </w:rPr>
      </w:pPr>
      <w:bookmarkStart w:id="666" w:name="_Toc1462"/>
      <w:bookmarkStart w:id="667" w:name="_Toc196"/>
      <w:bookmarkStart w:id="668" w:name="_Toc2222"/>
      <w:bookmarkStart w:id="669" w:name="_Toc29090"/>
      <w:bookmarkStart w:id="670" w:name="_Toc16365"/>
      <w:bookmarkStart w:id="671" w:name="_Toc19290"/>
      <w:bookmarkStart w:id="672" w:name="_Toc2947"/>
      <w:bookmarkStart w:id="673" w:name="_Toc3798"/>
      <w:bookmarkStart w:id="674" w:name="_Toc11702"/>
      <w:bookmarkStart w:id="675" w:name="_Toc5426_WPSOffice_Level3"/>
      <w:bookmarkStart w:id="676" w:name="_Toc1626"/>
      <w:bookmarkStart w:id="677" w:name="_Toc31229"/>
      <w:bookmarkStart w:id="678" w:name="_Toc5153"/>
      <w:bookmarkStart w:id="679" w:name="_Toc18591"/>
      <w:bookmarkStart w:id="680" w:name="_Toc1305"/>
      <w:bookmarkStart w:id="681" w:name="_Toc3670"/>
      <w:bookmarkStart w:id="682" w:name="_Toc20692"/>
      <w:bookmarkStart w:id="683" w:name="_Toc17823"/>
      <w:bookmarkStart w:id="684" w:name="_Toc11932"/>
      <w:bookmarkStart w:id="685" w:name="_Toc1781"/>
      <w:bookmarkStart w:id="686" w:name="_Toc18404"/>
      <w:r>
        <w:rPr>
          <w:rFonts w:hint="eastAsia" w:ascii="宋体" w:hAnsi="宋体" w:cs="宋体"/>
          <w:b/>
          <w:bCs/>
          <w:sz w:val="21"/>
          <w:szCs w:val="21"/>
          <w:lang w:val="zh-CN"/>
        </w:rPr>
        <w:t>20、评审方法和标准</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2E6954C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20</w:t>
      </w:r>
      <w:r>
        <w:rPr>
          <w:rFonts w:hint="eastAsia" w:ascii="宋体" w:hAnsi="宋体" w:cs="宋体"/>
          <w:kern w:val="0"/>
          <w:sz w:val="21"/>
          <w:szCs w:val="21"/>
          <w:lang w:val="zh-CN"/>
        </w:rPr>
        <w:t>.1</w:t>
      </w:r>
      <w:r>
        <w:rPr>
          <w:rFonts w:hint="eastAsia" w:ascii="宋体" w:hAnsi="宋体" w:cs="宋体"/>
          <w:kern w:val="0"/>
          <w:sz w:val="21"/>
          <w:szCs w:val="21"/>
        </w:rPr>
        <w:t xml:space="preserve"> </w:t>
      </w:r>
      <w:r>
        <w:rPr>
          <w:rFonts w:hint="eastAsia" w:ascii="宋体" w:hAnsi="宋体" w:cs="宋体"/>
          <w:kern w:val="0"/>
          <w:sz w:val="21"/>
          <w:szCs w:val="21"/>
          <w:lang w:val="zh-CN"/>
        </w:rPr>
        <w:t>依照《中华人民共和国政府采购法》《中华人民共和国政府采购法实施条例》《政府采购货物和服务招投标管理办法》等法律法规的规定，结合该项目的特点制定本评审办法。</w:t>
      </w:r>
    </w:p>
    <w:p w14:paraId="3B75CA2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20</w:t>
      </w:r>
      <w:r>
        <w:rPr>
          <w:rFonts w:hint="eastAsia" w:ascii="宋体" w:hAnsi="宋体" w:cs="宋体"/>
          <w:kern w:val="0"/>
          <w:sz w:val="21"/>
          <w:szCs w:val="21"/>
          <w:lang w:val="zh-CN"/>
        </w:rPr>
        <w:t>.2</w:t>
      </w:r>
      <w:r>
        <w:rPr>
          <w:rFonts w:hint="eastAsia" w:ascii="宋体" w:hAnsi="宋体" w:cs="宋体"/>
          <w:kern w:val="0"/>
          <w:sz w:val="21"/>
          <w:szCs w:val="21"/>
        </w:rPr>
        <w:t xml:space="preserve"> </w:t>
      </w:r>
      <w:r>
        <w:rPr>
          <w:rFonts w:hint="eastAsia" w:ascii="宋体" w:hAnsi="宋体" w:cs="宋体"/>
          <w:kern w:val="0"/>
          <w:sz w:val="21"/>
          <w:szCs w:val="21"/>
          <w:lang w:val="zh-CN"/>
        </w:rPr>
        <w:t>本次评审方法采用综合评分法</w:t>
      </w:r>
      <w:r>
        <w:rPr>
          <w:rFonts w:hint="eastAsia" w:ascii="宋体" w:hAnsi="宋体" w:cs="宋体"/>
          <w:kern w:val="0"/>
          <w:sz w:val="21"/>
          <w:szCs w:val="21"/>
        </w:rPr>
        <w:t>。</w:t>
      </w:r>
    </w:p>
    <w:p w14:paraId="21967E77">
      <w:pPr>
        <w:autoSpaceDE w:val="0"/>
        <w:autoSpaceDN w:val="0"/>
        <w:spacing w:line="360" w:lineRule="auto"/>
        <w:ind w:firstLine="420" w:firstLineChars="200"/>
        <w:rPr>
          <w:rFonts w:hint="eastAsia" w:ascii="宋体" w:hAnsi="宋体" w:cs="宋体"/>
          <w:kern w:val="0"/>
          <w:sz w:val="21"/>
          <w:szCs w:val="21"/>
          <w:lang w:val="zh-CN"/>
        </w:rPr>
      </w:pPr>
      <w:r>
        <w:rPr>
          <w:rFonts w:hint="eastAsia" w:ascii="宋体" w:hAnsi="宋体" w:cs="宋体"/>
          <w:kern w:val="0"/>
          <w:sz w:val="21"/>
          <w:szCs w:val="21"/>
          <w:lang w:val="zh-CN"/>
        </w:rPr>
        <w:t>综合评分法，</w:t>
      </w:r>
      <w:r>
        <w:rPr>
          <w:rFonts w:hint="eastAsia" w:ascii="宋体" w:hAnsi="宋体" w:cs="宋体"/>
          <w:sz w:val="21"/>
          <w:szCs w:val="21"/>
          <w:shd w:val="clear" w:color="auto" w:fill="FFFFFF"/>
        </w:rPr>
        <w:t>是指投标文件满足招标文件全部实质性要求，且按照评审因素的量化指标评审得分最高的</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为中标候选人的评标方法</w:t>
      </w:r>
      <w:r>
        <w:rPr>
          <w:rFonts w:hint="eastAsia" w:ascii="宋体" w:hAnsi="宋体" w:cs="宋体"/>
          <w:kern w:val="0"/>
          <w:sz w:val="21"/>
          <w:szCs w:val="21"/>
          <w:lang w:val="zh-CN"/>
        </w:rPr>
        <w:t>。评分办法如下：</w:t>
      </w:r>
    </w:p>
    <w:tbl>
      <w:tblPr>
        <w:tblStyle w:val="30"/>
        <w:tblW w:w="9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134"/>
        <w:gridCol w:w="1041"/>
        <w:gridCol w:w="6904"/>
      </w:tblGrid>
      <w:tr w14:paraId="5B10E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blHeader/>
          <w:jc w:val="center"/>
        </w:trPr>
        <w:tc>
          <w:tcPr>
            <w:tcW w:w="774" w:type="dxa"/>
            <w:tcBorders>
              <w:top w:val="single" w:color="auto" w:sz="4" w:space="0"/>
              <w:left w:val="single" w:color="auto" w:sz="4" w:space="0"/>
              <w:bottom w:val="single" w:color="auto" w:sz="4" w:space="0"/>
              <w:right w:val="single" w:color="auto" w:sz="4" w:space="0"/>
            </w:tcBorders>
            <w:vAlign w:val="center"/>
          </w:tcPr>
          <w:p w14:paraId="015E61D7">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4C488AF0">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评分因素</w:t>
            </w:r>
          </w:p>
        </w:tc>
        <w:tc>
          <w:tcPr>
            <w:tcW w:w="1041" w:type="dxa"/>
            <w:tcBorders>
              <w:top w:val="single" w:color="auto" w:sz="4" w:space="0"/>
              <w:left w:val="single" w:color="auto" w:sz="4" w:space="0"/>
              <w:bottom w:val="single" w:color="auto" w:sz="4" w:space="0"/>
              <w:right w:val="single" w:color="auto" w:sz="4" w:space="0"/>
            </w:tcBorders>
            <w:vAlign w:val="center"/>
          </w:tcPr>
          <w:p w14:paraId="3C557CE2">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分值</w:t>
            </w:r>
          </w:p>
        </w:tc>
        <w:tc>
          <w:tcPr>
            <w:tcW w:w="6904" w:type="dxa"/>
            <w:tcBorders>
              <w:top w:val="single" w:color="auto" w:sz="4" w:space="0"/>
              <w:left w:val="single" w:color="auto" w:sz="4" w:space="0"/>
              <w:bottom w:val="single" w:color="auto" w:sz="4" w:space="0"/>
              <w:right w:val="single" w:color="auto" w:sz="4" w:space="0"/>
            </w:tcBorders>
            <w:vAlign w:val="center"/>
          </w:tcPr>
          <w:p w14:paraId="1AB3A6ED">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评分标准</w:t>
            </w:r>
          </w:p>
        </w:tc>
      </w:tr>
      <w:tr w14:paraId="4C009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74DEFD88">
            <w:pPr>
              <w:spacing w:line="360" w:lineRule="auto"/>
              <w:jc w:val="center"/>
              <w:rPr>
                <w:rFonts w:ascii="宋体" w:hAnsi="宋体" w:cs="宋体"/>
                <w:color w:val="000000"/>
                <w:kern w:val="0"/>
                <w:sz w:val="21"/>
                <w:szCs w:val="21"/>
              </w:rPr>
            </w:pPr>
            <w:r>
              <w:rPr>
                <w:rFonts w:ascii="宋体" w:hAnsi="宋体" w:cs="宋体"/>
                <w:color w:val="000000"/>
                <w:kern w:val="0"/>
                <w:sz w:val="21"/>
                <w:szCs w:val="21"/>
              </w:rPr>
              <w:t>1</w:t>
            </w:r>
          </w:p>
        </w:tc>
        <w:tc>
          <w:tcPr>
            <w:tcW w:w="1134" w:type="dxa"/>
            <w:tcBorders>
              <w:top w:val="single" w:color="auto" w:sz="4" w:space="0"/>
              <w:left w:val="single" w:color="auto" w:sz="4" w:space="0"/>
              <w:bottom w:val="single" w:color="auto" w:sz="4" w:space="0"/>
              <w:right w:val="single" w:color="auto" w:sz="4" w:space="0"/>
            </w:tcBorders>
            <w:vAlign w:val="center"/>
          </w:tcPr>
          <w:p w14:paraId="604D3964">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投标报价部分</w:t>
            </w:r>
          </w:p>
        </w:tc>
        <w:tc>
          <w:tcPr>
            <w:tcW w:w="1041" w:type="dxa"/>
            <w:tcBorders>
              <w:top w:val="single" w:color="auto" w:sz="4" w:space="0"/>
              <w:left w:val="single" w:color="auto" w:sz="4" w:space="0"/>
              <w:bottom w:val="single" w:color="auto" w:sz="4" w:space="0"/>
              <w:right w:val="single" w:color="auto" w:sz="4" w:space="0"/>
            </w:tcBorders>
            <w:vAlign w:val="center"/>
          </w:tcPr>
          <w:p w14:paraId="7CA5EC3C">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3</w:t>
            </w:r>
            <w:r>
              <w:rPr>
                <w:rFonts w:ascii="宋体" w:hAnsi="宋体" w:cs="宋体"/>
                <w:color w:val="000000"/>
                <w:kern w:val="0"/>
                <w:sz w:val="21"/>
                <w:szCs w:val="21"/>
              </w:rPr>
              <w:t>0</w:t>
            </w:r>
          </w:p>
        </w:tc>
        <w:tc>
          <w:tcPr>
            <w:tcW w:w="6904" w:type="dxa"/>
            <w:tcBorders>
              <w:top w:val="single" w:color="auto" w:sz="4" w:space="0"/>
              <w:left w:val="single" w:color="auto" w:sz="4" w:space="0"/>
              <w:bottom w:val="single" w:color="auto" w:sz="4" w:space="0"/>
              <w:right w:val="single" w:color="auto" w:sz="4" w:space="0"/>
            </w:tcBorders>
            <w:vAlign w:val="center"/>
          </w:tcPr>
          <w:p w14:paraId="4A551EEC">
            <w:pPr>
              <w:autoSpaceDE w:val="0"/>
              <w:autoSpaceDN w:val="0"/>
              <w:spacing w:line="360" w:lineRule="auto"/>
              <w:rPr>
                <w:rFonts w:ascii="宋体" w:hAnsi="宋体"/>
                <w:kern w:val="0"/>
                <w:sz w:val="21"/>
                <w:szCs w:val="21"/>
              </w:rPr>
            </w:pPr>
            <w:r>
              <w:rPr>
                <w:rFonts w:ascii="宋体" w:hAnsi="宋体"/>
                <w:kern w:val="0"/>
                <w:sz w:val="21"/>
                <w:szCs w:val="21"/>
              </w:rPr>
              <w:t>（1）产品项目的价格分值占总分值的比重：30%</w:t>
            </w:r>
          </w:p>
          <w:p w14:paraId="7D9E98E3">
            <w:pPr>
              <w:autoSpaceDE w:val="0"/>
              <w:autoSpaceDN w:val="0"/>
              <w:spacing w:line="360" w:lineRule="auto"/>
              <w:rPr>
                <w:rFonts w:ascii="宋体" w:hAnsi="宋体"/>
                <w:kern w:val="0"/>
                <w:sz w:val="21"/>
                <w:szCs w:val="21"/>
              </w:rPr>
            </w:pPr>
            <w:r>
              <w:rPr>
                <w:rFonts w:ascii="宋体" w:hAnsi="宋体"/>
                <w:kern w:val="0"/>
                <w:sz w:val="21"/>
                <w:szCs w:val="21"/>
              </w:rPr>
              <w:t>（2）价格分应当采用低价优先法计算，即满足招标文件要求且投标价格最低的投标报价为评标基准价，其价格分为满分。其他</w:t>
            </w:r>
            <w:r>
              <w:rPr>
                <w:rFonts w:hint="eastAsia" w:ascii="宋体" w:hAnsi="宋体"/>
                <w:kern w:val="0"/>
                <w:sz w:val="21"/>
                <w:szCs w:val="21"/>
                <w:lang w:eastAsia="zh-CN"/>
              </w:rPr>
              <w:t>供应商</w:t>
            </w:r>
            <w:r>
              <w:rPr>
                <w:rFonts w:ascii="宋体" w:hAnsi="宋体"/>
                <w:kern w:val="0"/>
                <w:sz w:val="21"/>
                <w:szCs w:val="21"/>
              </w:rPr>
              <w:t>的价格分统一按照下列公式计算：投标报价得分=（评标基准价／投标报价）×100×投标报价比重</w:t>
            </w:r>
          </w:p>
          <w:p w14:paraId="604F9084">
            <w:pPr>
              <w:autoSpaceDE w:val="0"/>
              <w:autoSpaceDN w:val="0"/>
              <w:spacing w:line="360" w:lineRule="auto"/>
              <w:rPr>
                <w:rFonts w:ascii="宋体" w:hAnsi="宋体"/>
                <w:kern w:val="0"/>
                <w:sz w:val="21"/>
                <w:szCs w:val="21"/>
              </w:rPr>
            </w:pPr>
            <w:r>
              <w:rPr>
                <w:rFonts w:ascii="宋体" w:hAnsi="宋体"/>
                <w:kern w:val="0"/>
                <w:sz w:val="21"/>
                <w:szCs w:val="21"/>
              </w:rPr>
              <w:t>（3）因落实政府采购政策进行价格调整的，以调整后的价格计算评标基准价和投标报价。</w:t>
            </w:r>
          </w:p>
          <w:p w14:paraId="0C96A46B">
            <w:pPr>
              <w:autoSpaceDE w:val="0"/>
              <w:autoSpaceDN w:val="0"/>
              <w:spacing w:line="360" w:lineRule="auto"/>
              <w:rPr>
                <w:rFonts w:ascii="宋体" w:hAnsi="宋体"/>
                <w:kern w:val="0"/>
                <w:sz w:val="21"/>
                <w:szCs w:val="21"/>
              </w:rPr>
            </w:pPr>
            <w:r>
              <w:rPr>
                <w:rFonts w:ascii="宋体" w:hAnsi="宋体"/>
                <w:kern w:val="0"/>
                <w:sz w:val="21"/>
                <w:szCs w:val="21"/>
              </w:rPr>
              <w:t>（4）执行国家统一定价标准和采用固定价格采购的项目，其价格不列为评审因素。</w:t>
            </w:r>
          </w:p>
          <w:p w14:paraId="07717627">
            <w:pPr>
              <w:autoSpaceDE w:val="0"/>
              <w:autoSpaceDN w:val="0"/>
              <w:spacing w:line="360" w:lineRule="auto"/>
              <w:rPr>
                <w:rFonts w:ascii="宋体" w:hAnsi="宋体"/>
                <w:kern w:val="0"/>
                <w:sz w:val="21"/>
                <w:szCs w:val="21"/>
              </w:rPr>
            </w:pPr>
            <w:r>
              <w:rPr>
                <w:rFonts w:ascii="宋体" w:hAnsi="宋体"/>
                <w:kern w:val="0"/>
                <w:sz w:val="21"/>
                <w:szCs w:val="21"/>
              </w:rPr>
              <w:t>备注：</w:t>
            </w:r>
          </w:p>
          <w:p w14:paraId="3D3B366E">
            <w:pPr>
              <w:autoSpaceDE w:val="0"/>
              <w:autoSpaceDN w:val="0"/>
              <w:spacing w:line="360" w:lineRule="auto"/>
              <w:ind w:firstLine="420" w:firstLineChars="200"/>
              <w:rPr>
                <w:rFonts w:ascii="宋体" w:hAnsi="宋体"/>
                <w:color w:val="auto"/>
                <w:kern w:val="0"/>
                <w:sz w:val="21"/>
                <w:szCs w:val="21"/>
                <w:highlight w:val="none"/>
              </w:rPr>
            </w:pPr>
            <w:r>
              <w:rPr>
                <w:rFonts w:ascii="宋体" w:hAnsi="宋体"/>
                <w:kern w:val="0"/>
                <w:sz w:val="21"/>
                <w:szCs w:val="21"/>
              </w:rPr>
              <w:t>1）</w:t>
            </w:r>
            <w:r>
              <w:rPr>
                <w:rFonts w:ascii="宋体" w:hAnsi="宋体"/>
                <w:b/>
                <w:bCs/>
                <w:kern w:val="0"/>
                <w:sz w:val="21"/>
                <w:szCs w:val="21"/>
              </w:rPr>
              <w:t>为了促进中小企业发展，根据《中华人民共和国政府采购法实施条例》第六条和</w:t>
            </w:r>
            <w:r>
              <w:rPr>
                <w:rFonts w:hint="eastAsia" w:ascii="宋体" w:hAnsi="宋体"/>
                <w:b/>
                <w:bCs/>
                <w:kern w:val="0"/>
                <w:sz w:val="21"/>
                <w:szCs w:val="21"/>
              </w:rPr>
              <w:t>财库〔2020〕46号</w:t>
            </w:r>
            <w:r>
              <w:rPr>
                <w:rFonts w:ascii="宋体" w:hAnsi="宋体"/>
                <w:b/>
                <w:bCs/>
                <w:kern w:val="0"/>
                <w:sz w:val="21"/>
                <w:szCs w:val="21"/>
              </w:rPr>
              <w:t>规定，给予小型或微型企业价格</w:t>
            </w:r>
            <w:r>
              <w:rPr>
                <w:rFonts w:hint="eastAsia" w:ascii="宋体" w:hAnsi="宋体"/>
                <w:b/>
                <w:bCs/>
                <w:kern w:val="0"/>
                <w:sz w:val="21"/>
                <w:szCs w:val="21"/>
              </w:rPr>
              <w:t>20</w:t>
            </w:r>
            <w:r>
              <w:rPr>
                <w:rFonts w:ascii="宋体" w:hAnsi="宋体"/>
                <w:b/>
                <w:bCs/>
                <w:kern w:val="0"/>
                <w:sz w:val="21"/>
                <w:szCs w:val="21"/>
              </w:rPr>
              <w:t>%的扣除，用扣除后的价格参与评审。</w:t>
            </w:r>
            <w:r>
              <w:rPr>
                <w:rFonts w:ascii="宋体" w:hAnsi="宋体"/>
                <w:kern w:val="0"/>
                <w:sz w:val="21"/>
                <w:szCs w:val="21"/>
              </w:rPr>
              <w:t>即所投中小微企业产品报价=所投中小微企业产品报价合计×（1-</w:t>
            </w:r>
            <w:r>
              <w:rPr>
                <w:rFonts w:hint="eastAsia" w:ascii="宋体" w:hAnsi="宋体"/>
                <w:kern w:val="0"/>
                <w:sz w:val="21"/>
                <w:szCs w:val="21"/>
              </w:rPr>
              <w:t>20</w:t>
            </w:r>
            <w:r>
              <w:rPr>
                <w:rFonts w:ascii="宋体" w:hAnsi="宋体"/>
                <w:kern w:val="0"/>
                <w:sz w:val="21"/>
                <w:szCs w:val="21"/>
              </w:rPr>
              <w:t>%）。本项目的扣除比例为：小型企业扣除</w:t>
            </w:r>
            <w:r>
              <w:rPr>
                <w:rFonts w:hint="eastAsia" w:ascii="宋体" w:hAnsi="宋体"/>
                <w:kern w:val="0"/>
                <w:sz w:val="21"/>
                <w:szCs w:val="21"/>
              </w:rPr>
              <w:t>20</w:t>
            </w:r>
            <w:r>
              <w:rPr>
                <w:rFonts w:ascii="宋体" w:hAnsi="宋体"/>
                <w:kern w:val="0"/>
                <w:sz w:val="21"/>
                <w:szCs w:val="21"/>
              </w:rPr>
              <w:t>%，微型企业扣除</w:t>
            </w:r>
            <w:r>
              <w:rPr>
                <w:rFonts w:hint="eastAsia" w:ascii="宋体" w:hAnsi="宋体"/>
                <w:kern w:val="0"/>
                <w:sz w:val="21"/>
                <w:szCs w:val="21"/>
              </w:rPr>
              <w:t>20</w:t>
            </w:r>
            <w:r>
              <w:rPr>
                <w:rFonts w:ascii="宋体" w:hAnsi="宋体"/>
                <w:kern w:val="0"/>
                <w:sz w:val="21"/>
                <w:szCs w:val="21"/>
              </w:rPr>
              <w:t>%，监</w:t>
            </w:r>
            <w:r>
              <w:rPr>
                <w:rFonts w:ascii="宋体" w:hAnsi="宋体"/>
                <w:color w:val="auto"/>
                <w:kern w:val="0"/>
                <w:sz w:val="21"/>
                <w:szCs w:val="21"/>
                <w:highlight w:val="none"/>
              </w:rPr>
              <w:t>狱企业扣除</w:t>
            </w:r>
            <w:r>
              <w:rPr>
                <w:rFonts w:hint="eastAsia" w:ascii="宋体" w:hAnsi="宋体"/>
                <w:color w:val="auto"/>
                <w:kern w:val="0"/>
                <w:sz w:val="21"/>
                <w:szCs w:val="21"/>
                <w:highlight w:val="none"/>
              </w:rPr>
              <w:t>20</w:t>
            </w:r>
            <w:r>
              <w:rPr>
                <w:rFonts w:ascii="宋体" w:hAnsi="宋体"/>
                <w:color w:val="auto"/>
                <w:kern w:val="0"/>
                <w:sz w:val="21"/>
                <w:szCs w:val="21"/>
                <w:highlight w:val="none"/>
              </w:rPr>
              <w:t>%，残疾人福利性单位扣除</w:t>
            </w:r>
            <w:r>
              <w:rPr>
                <w:rFonts w:hint="eastAsia" w:ascii="宋体" w:hAnsi="宋体"/>
                <w:color w:val="auto"/>
                <w:kern w:val="0"/>
                <w:sz w:val="21"/>
                <w:szCs w:val="21"/>
                <w:highlight w:val="none"/>
              </w:rPr>
              <w:t>20</w:t>
            </w:r>
            <w:r>
              <w:rPr>
                <w:rFonts w:ascii="宋体" w:hAnsi="宋体"/>
                <w:color w:val="auto"/>
                <w:kern w:val="0"/>
                <w:sz w:val="21"/>
                <w:szCs w:val="21"/>
                <w:highlight w:val="none"/>
              </w:rPr>
              <w:t>%。</w:t>
            </w:r>
            <w:r>
              <w:rPr>
                <w:rFonts w:hint="eastAsia" w:ascii="宋体" w:hAnsi="宋体"/>
                <w:color w:val="auto"/>
                <w:kern w:val="0"/>
                <w:sz w:val="21"/>
                <w:szCs w:val="21"/>
                <w:highlight w:val="none"/>
              </w:rPr>
              <w:t>同一供应商，小微企业、监狱、残疾人福利性企业同一产品价格扣除优惠只享受一次，不得重复享受。</w:t>
            </w:r>
          </w:p>
          <w:p w14:paraId="227A93FA">
            <w:pPr>
              <w:autoSpaceDE w:val="0"/>
              <w:autoSpaceDN w:val="0"/>
              <w:spacing w:line="360" w:lineRule="auto"/>
              <w:ind w:firstLine="420" w:firstLineChars="200"/>
              <w:rPr>
                <w:rFonts w:hint="eastAsia" w:ascii="宋体" w:hAnsi="宋体"/>
                <w:color w:val="auto"/>
                <w:kern w:val="0"/>
                <w:sz w:val="21"/>
                <w:szCs w:val="21"/>
                <w:highlight w:val="none"/>
                <w:lang w:val="en-US" w:eastAsia="zh-CN"/>
              </w:rPr>
            </w:pPr>
            <w:r>
              <w:rPr>
                <w:rFonts w:ascii="宋体" w:hAnsi="宋体"/>
                <w:color w:val="auto"/>
                <w:kern w:val="0"/>
                <w:sz w:val="21"/>
                <w:szCs w:val="21"/>
                <w:highlight w:val="none"/>
              </w:rPr>
              <w:t>2）</w:t>
            </w:r>
            <w:r>
              <w:rPr>
                <w:rFonts w:hint="eastAsia" w:ascii="宋体" w:hAnsi="宋体"/>
                <w:b/>
                <w:bCs/>
                <w:color w:val="auto"/>
                <w:kern w:val="0"/>
                <w:sz w:val="21"/>
                <w:szCs w:val="21"/>
                <w:highlight w:val="none"/>
                <w:lang w:val="en-US" w:eastAsia="zh-CN"/>
              </w:rPr>
              <w:t>本项目执行《国务院办公厅关于在政府采购中实施本国产品标准及相关政策的通知》（国办发</w:t>
            </w:r>
            <w:r>
              <w:rPr>
                <w:rFonts w:hint="eastAsia" w:ascii="宋体" w:hAnsi="宋体"/>
                <w:b/>
                <w:bCs/>
                <w:color w:val="auto"/>
                <w:kern w:val="0"/>
                <w:sz w:val="21"/>
                <w:szCs w:val="21"/>
                <w:highlight w:val="none"/>
              </w:rPr>
              <w:t>〔</w:t>
            </w:r>
            <w:r>
              <w:rPr>
                <w:rFonts w:hint="eastAsia" w:ascii="宋体" w:hAnsi="宋体"/>
                <w:b/>
                <w:bCs/>
                <w:color w:val="auto"/>
                <w:kern w:val="0"/>
                <w:sz w:val="21"/>
                <w:szCs w:val="21"/>
                <w:highlight w:val="none"/>
                <w:lang w:val="en-US" w:eastAsia="zh-CN"/>
              </w:rPr>
              <w:t>2025</w:t>
            </w:r>
            <w:r>
              <w:rPr>
                <w:rFonts w:hint="eastAsia" w:ascii="宋体" w:hAnsi="宋体"/>
                <w:b/>
                <w:bCs/>
                <w:color w:val="auto"/>
                <w:kern w:val="0"/>
                <w:sz w:val="21"/>
                <w:szCs w:val="21"/>
                <w:highlight w:val="none"/>
              </w:rPr>
              <w:t>〕</w:t>
            </w:r>
            <w:r>
              <w:rPr>
                <w:rFonts w:hint="eastAsia" w:ascii="宋体" w:hAnsi="宋体"/>
                <w:b/>
                <w:bCs/>
                <w:color w:val="auto"/>
                <w:kern w:val="0"/>
                <w:sz w:val="21"/>
                <w:szCs w:val="21"/>
                <w:highlight w:val="none"/>
                <w:lang w:val="en-US" w:eastAsia="zh-CN"/>
              </w:rPr>
              <w:t>34号）规定（详见附件7）</w:t>
            </w:r>
            <w:r>
              <w:rPr>
                <w:rFonts w:hint="eastAsia" w:ascii="宋体" w:hAnsi="宋体"/>
                <w:color w:val="auto"/>
                <w:kern w:val="0"/>
                <w:sz w:val="21"/>
                <w:szCs w:val="21"/>
                <w:highlight w:val="none"/>
                <w:lang w:val="en-US" w:eastAsia="zh-CN"/>
              </w:rPr>
              <w:t>，</w:t>
            </w:r>
            <w:r>
              <w:rPr>
                <w:rFonts w:hint="eastAsia" w:ascii="宋体" w:hAnsi="宋体"/>
                <w:b/>
                <w:bCs/>
                <w:color w:val="auto"/>
                <w:kern w:val="0"/>
                <w:sz w:val="21"/>
                <w:szCs w:val="21"/>
                <w:highlight w:val="none"/>
                <w:lang w:val="en-US" w:eastAsia="zh-CN"/>
              </w:rPr>
              <w:t>政府采购活动中既有本国产品又有非本国产品参与竞争的，依法对本国产品给予价格评审优惠，对本国产品的报价给予20%的价格扣除，用扣除后的价格参与评审。</w:t>
            </w:r>
            <w:r>
              <w:rPr>
                <w:rFonts w:hint="eastAsia" w:ascii="宋体" w:hAnsi="宋体"/>
                <w:color w:val="auto"/>
                <w:kern w:val="0"/>
                <w:sz w:val="21"/>
                <w:szCs w:val="21"/>
                <w:highlight w:val="none"/>
                <w:lang w:val="en-US" w:eastAsia="zh-CN"/>
              </w:rPr>
              <w:t xml:space="preserve"> </w:t>
            </w:r>
          </w:p>
          <w:p w14:paraId="44A73534">
            <w:pPr>
              <w:autoSpaceDE w:val="0"/>
              <w:autoSpaceDN w:val="0"/>
              <w:spacing w:line="360" w:lineRule="auto"/>
              <w:ind w:firstLine="420" w:firstLineChars="200"/>
              <w:rPr>
                <w:rFonts w:ascii="宋体" w:hAnsi="宋体"/>
                <w:color w:val="auto"/>
                <w:kern w:val="0"/>
                <w:sz w:val="21"/>
                <w:szCs w:val="21"/>
                <w:highlight w:val="none"/>
              </w:rPr>
            </w:pPr>
            <w:r>
              <w:rPr>
                <w:rFonts w:hint="eastAsia" w:ascii="宋体" w:hAnsi="宋体" w:eastAsia="宋体" w:cs="宋体"/>
                <w:b w:val="0"/>
                <w:color w:val="auto"/>
                <w:kern w:val="2"/>
                <w:sz w:val="21"/>
                <w:szCs w:val="21"/>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03F95A2">
            <w:pPr>
              <w:spacing w:line="360" w:lineRule="auto"/>
              <w:rPr>
                <w:rFonts w:ascii="宋体" w:hAnsi="宋体" w:cs="宋体"/>
                <w:color w:val="000000"/>
                <w:kern w:val="0"/>
                <w:sz w:val="21"/>
                <w:szCs w:val="21"/>
              </w:rPr>
            </w:pPr>
            <w:r>
              <w:rPr>
                <w:rFonts w:hint="eastAsia" w:ascii="宋体" w:hAnsi="宋体" w:cs="宋体"/>
                <w:b w:val="0"/>
                <w:bCs w:val="0"/>
                <w:color w:val="auto"/>
                <w:kern w:val="2"/>
                <w:sz w:val="21"/>
                <w:szCs w:val="21"/>
                <w:highlight w:val="none"/>
                <w:lang w:val="en-US" w:eastAsia="zh-CN" w:bidi="ar-SA"/>
              </w:rPr>
              <w:t>3）</w:t>
            </w:r>
            <w:r>
              <w:rPr>
                <w:rFonts w:hint="eastAsia" w:ascii="宋体" w:hAnsi="宋体" w:cs="宋体"/>
                <w:b/>
                <w:bCs/>
                <w:color w:val="auto"/>
                <w:kern w:val="2"/>
                <w:sz w:val="21"/>
                <w:szCs w:val="21"/>
                <w:highlight w:val="none"/>
                <w:lang w:val="en-US" w:eastAsia="zh-CN" w:bidi="ar-SA"/>
              </w:rPr>
              <w:t>异常低价问题的处理</w:t>
            </w:r>
            <w:r>
              <w:rPr>
                <w:rFonts w:hint="eastAsia" w:ascii="宋体" w:hAnsi="宋体"/>
                <w:b/>
                <w:bCs/>
                <w:color w:val="auto"/>
                <w:kern w:val="0"/>
                <w:sz w:val="21"/>
                <w:szCs w:val="21"/>
                <w:highlight w:val="none"/>
                <w:lang w:val="en-US" w:eastAsia="zh-CN"/>
              </w:rPr>
              <w:t>执行《</w:t>
            </w:r>
            <w:r>
              <w:rPr>
                <w:rFonts w:hint="eastAsia" w:ascii="宋体" w:hAnsi="宋体"/>
                <w:b/>
                <w:bCs/>
                <w:color w:val="auto"/>
                <w:kern w:val="0"/>
                <w:sz w:val="21"/>
                <w:szCs w:val="21"/>
                <w:highlight w:val="none"/>
                <w:lang w:eastAsia="zh-CN"/>
              </w:rPr>
              <w:t>关于推动解决政府采购异常低价问题的通知</w:t>
            </w:r>
            <w:r>
              <w:rPr>
                <w:rFonts w:hint="eastAsia" w:ascii="宋体" w:hAnsi="宋体"/>
                <w:b/>
                <w:bCs/>
                <w:color w:val="auto"/>
                <w:kern w:val="0"/>
                <w:sz w:val="21"/>
                <w:szCs w:val="21"/>
                <w:highlight w:val="none"/>
                <w:lang w:val="en-US" w:eastAsia="zh-CN"/>
              </w:rPr>
              <w:t>》（</w:t>
            </w:r>
            <w:r>
              <w:rPr>
                <w:rFonts w:hint="eastAsia" w:ascii="宋体" w:hAnsi="宋体"/>
                <w:b/>
                <w:bCs/>
                <w:color w:val="auto"/>
                <w:kern w:val="0"/>
                <w:sz w:val="21"/>
                <w:szCs w:val="21"/>
                <w:highlight w:val="none"/>
                <w:lang w:eastAsia="zh-CN"/>
              </w:rPr>
              <w:t>财库〔2026〕2号</w:t>
            </w:r>
            <w:r>
              <w:rPr>
                <w:rFonts w:hint="eastAsia" w:ascii="宋体" w:hAnsi="宋体"/>
                <w:b/>
                <w:bCs/>
                <w:color w:val="auto"/>
                <w:kern w:val="0"/>
                <w:sz w:val="21"/>
                <w:szCs w:val="21"/>
                <w:highlight w:val="none"/>
                <w:lang w:val="en-US" w:eastAsia="zh-CN"/>
              </w:rPr>
              <w:t>）（详见附件8）。</w:t>
            </w:r>
            <w:r>
              <w:rPr>
                <w:rFonts w:ascii="宋体" w:hAnsi="宋体"/>
                <w:color w:val="auto"/>
                <w:kern w:val="0"/>
                <w:sz w:val="21"/>
                <w:szCs w:val="21"/>
                <w:highlight w:val="none"/>
              </w:rPr>
              <w:t>投标报价应是在保证采购要求和服务质量的基础上投报的全费用价格。评标委员</w:t>
            </w:r>
            <w:r>
              <w:rPr>
                <w:rFonts w:ascii="宋体" w:hAnsi="宋体"/>
                <w:kern w:val="0"/>
                <w:sz w:val="21"/>
                <w:szCs w:val="21"/>
              </w:rPr>
              <w:t>会发现</w:t>
            </w:r>
            <w:r>
              <w:rPr>
                <w:rFonts w:hint="eastAsia" w:ascii="宋体" w:hAnsi="宋体"/>
                <w:kern w:val="0"/>
                <w:sz w:val="21"/>
                <w:szCs w:val="21"/>
                <w:lang w:eastAsia="zh-CN"/>
              </w:rPr>
              <w:t>供应商</w:t>
            </w:r>
            <w:r>
              <w:rPr>
                <w:rFonts w:ascii="宋体" w:hAnsi="宋体"/>
                <w:kern w:val="0"/>
                <w:sz w:val="21"/>
                <w:szCs w:val="21"/>
              </w:rPr>
              <w:t>的报价明显低于其他</w:t>
            </w:r>
            <w:r>
              <w:rPr>
                <w:rFonts w:hint="eastAsia" w:ascii="宋体" w:hAnsi="宋体"/>
                <w:kern w:val="0"/>
                <w:sz w:val="21"/>
                <w:szCs w:val="21"/>
                <w:lang w:eastAsia="zh-CN"/>
              </w:rPr>
              <w:t>供应商</w:t>
            </w:r>
            <w:r>
              <w:rPr>
                <w:rFonts w:ascii="宋体" w:hAnsi="宋体"/>
                <w:kern w:val="0"/>
                <w:sz w:val="21"/>
                <w:szCs w:val="21"/>
              </w:rPr>
              <w:t>，使得其投标报价可能低于其个别成本的，应当要求</w:t>
            </w:r>
            <w:r>
              <w:rPr>
                <w:rFonts w:hint="eastAsia" w:ascii="宋体" w:hAnsi="宋体"/>
                <w:kern w:val="0"/>
                <w:sz w:val="21"/>
                <w:szCs w:val="21"/>
                <w:lang w:eastAsia="zh-CN"/>
              </w:rPr>
              <w:t>供应商</w:t>
            </w:r>
            <w:r>
              <w:rPr>
                <w:rFonts w:ascii="宋体" w:hAnsi="宋体"/>
                <w:kern w:val="0"/>
                <w:sz w:val="21"/>
                <w:szCs w:val="21"/>
              </w:rPr>
              <w:t>于投标现场1小时内作出书面说明并提供相关证明材料。</w:t>
            </w:r>
            <w:r>
              <w:rPr>
                <w:rFonts w:hint="eastAsia" w:ascii="宋体" w:hAnsi="宋体"/>
                <w:kern w:val="0"/>
                <w:sz w:val="21"/>
                <w:szCs w:val="21"/>
                <w:lang w:eastAsia="zh-CN"/>
              </w:rPr>
              <w:t>供应商</w:t>
            </w:r>
            <w:r>
              <w:rPr>
                <w:rFonts w:ascii="宋体" w:hAnsi="宋体"/>
                <w:kern w:val="0"/>
                <w:sz w:val="21"/>
                <w:szCs w:val="21"/>
              </w:rPr>
              <w:t>不能合理说明或者不能提供相关证明材料的，由评标委员会认定该</w:t>
            </w:r>
            <w:r>
              <w:rPr>
                <w:rFonts w:hint="eastAsia" w:ascii="宋体" w:hAnsi="宋体"/>
                <w:kern w:val="0"/>
                <w:sz w:val="21"/>
                <w:szCs w:val="21"/>
                <w:lang w:eastAsia="zh-CN"/>
              </w:rPr>
              <w:t>供应商</w:t>
            </w:r>
            <w:r>
              <w:rPr>
                <w:rFonts w:ascii="宋体" w:hAnsi="宋体"/>
                <w:kern w:val="0"/>
                <w:sz w:val="21"/>
                <w:szCs w:val="21"/>
              </w:rPr>
              <w:t>以低于成本报价竞标，其投标作为无效标处理。</w:t>
            </w:r>
          </w:p>
        </w:tc>
      </w:tr>
      <w:tr w14:paraId="0C4EC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28251C82">
            <w:pPr>
              <w:spacing w:line="360" w:lineRule="auto"/>
              <w:jc w:val="center"/>
              <w:rPr>
                <w:rFonts w:ascii="宋体" w:hAnsi="宋体" w:cs="宋体"/>
                <w:color w:val="000000"/>
                <w:kern w:val="0"/>
                <w:sz w:val="21"/>
                <w:szCs w:val="21"/>
              </w:rPr>
            </w:pPr>
            <w:r>
              <w:rPr>
                <w:rFonts w:ascii="宋体" w:hAnsi="宋体" w:cs="宋体"/>
                <w:color w:val="000000"/>
                <w:kern w:val="0"/>
                <w:sz w:val="21"/>
                <w:szCs w:val="21"/>
              </w:rPr>
              <w:t>2</w:t>
            </w:r>
          </w:p>
        </w:tc>
        <w:tc>
          <w:tcPr>
            <w:tcW w:w="1134" w:type="dxa"/>
            <w:tcBorders>
              <w:top w:val="single" w:color="auto" w:sz="4" w:space="0"/>
              <w:left w:val="single" w:color="auto" w:sz="4" w:space="0"/>
              <w:bottom w:val="single" w:color="auto" w:sz="4" w:space="0"/>
              <w:right w:val="single" w:color="auto" w:sz="4" w:space="0"/>
            </w:tcBorders>
            <w:vAlign w:val="center"/>
          </w:tcPr>
          <w:p w14:paraId="4EBAB705">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技术部分</w:t>
            </w:r>
          </w:p>
        </w:tc>
        <w:tc>
          <w:tcPr>
            <w:tcW w:w="1041" w:type="dxa"/>
            <w:tcBorders>
              <w:top w:val="single" w:color="auto" w:sz="4" w:space="0"/>
              <w:left w:val="single" w:color="auto" w:sz="4" w:space="0"/>
              <w:bottom w:val="single" w:color="auto" w:sz="4" w:space="0"/>
              <w:right w:val="single" w:color="auto" w:sz="4" w:space="0"/>
            </w:tcBorders>
            <w:vAlign w:val="center"/>
          </w:tcPr>
          <w:p w14:paraId="0269B443">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lang w:val="en-US" w:eastAsia="zh-CN"/>
              </w:rPr>
              <w:t>3</w:t>
            </w:r>
            <w:r>
              <w:rPr>
                <w:rFonts w:hint="eastAsia" w:ascii="宋体" w:hAnsi="宋体" w:cs="宋体"/>
                <w:color w:val="000000"/>
                <w:kern w:val="0"/>
                <w:sz w:val="21"/>
                <w:szCs w:val="21"/>
              </w:rPr>
              <w:t>0</w:t>
            </w:r>
          </w:p>
        </w:tc>
        <w:tc>
          <w:tcPr>
            <w:tcW w:w="6904" w:type="dxa"/>
            <w:tcBorders>
              <w:top w:val="single" w:color="auto" w:sz="4" w:space="0"/>
              <w:left w:val="single" w:color="auto" w:sz="4" w:space="0"/>
              <w:bottom w:val="single" w:color="auto" w:sz="4" w:space="0"/>
              <w:right w:val="single" w:color="auto" w:sz="4" w:space="0"/>
            </w:tcBorders>
            <w:vAlign w:val="center"/>
          </w:tcPr>
          <w:p w14:paraId="57FC172D">
            <w:pPr>
              <w:spacing w:line="360" w:lineRule="auto"/>
              <w:rPr>
                <w:rFonts w:ascii="宋体" w:hAnsi="宋体" w:cs="宋体"/>
                <w:color w:val="000000"/>
                <w:kern w:val="0"/>
                <w:sz w:val="21"/>
                <w:szCs w:val="21"/>
              </w:rPr>
            </w:pPr>
            <w:r>
              <w:rPr>
                <w:rFonts w:hint="eastAsia" w:ascii="宋体" w:hAnsi="宋体" w:cs="宋体"/>
                <w:color w:val="000000"/>
                <w:kern w:val="0"/>
                <w:sz w:val="21"/>
                <w:szCs w:val="21"/>
              </w:rPr>
              <w:t>投标产品完全符合或优于招标文件要求，没有负偏离得</w:t>
            </w:r>
            <w:r>
              <w:rPr>
                <w:rFonts w:hint="eastAsia" w:ascii="宋体" w:hAnsi="宋体" w:cs="宋体"/>
                <w:color w:val="000000"/>
                <w:kern w:val="0"/>
                <w:sz w:val="21"/>
                <w:szCs w:val="21"/>
                <w:lang w:val="en-US" w:eastAsia="zh-CN"/>
              </w:rPr>
              <w:t>3</w:t>
            </w:r>
            <w:r>
              <w:rPr>
                <w:rFonts w:hint="eastAsia" w:ascii="宋体" w:hAnsi="宋体" w:cs="宋体"/>
                <w:color w:val="000000"/>
                <w:kern w:val="0"/>
                <w:sz w:val="21"/>
                <w:szCs w:val="21"/>
              </w:rPr>
              <w:t>0分。带★项参数每有一项负偏离扣</w:t>
            </w:r>
            <w:r>
              <w:rPr>
                <w:rFonts w:hint="eastAsia" w:ascii="宋体" w:hAnsi="宋体" w:cs="宋体"/>
                <w:color w:val="000000"/>
                <w:kern w:val="0"/>
                <w:sz w:val="21"/>
                <w:szCs w:val="21"/>
                <w:lang w:val="en-US" w:eastAsia="zh-CN"/>
              </w:rPr>
              <w:t>2</w:t>
            </w:r>
            <w:r>
              <w:rPr>
                <w:rFonts w:hint="eastAsia" w:ascii="宋体" w:hAnsi="宋体" w:cs="宋体"/>
                <w:color w:val="000000"/>
                <w:kern w:val="0"/>
                <w:sz w:val="21"/>
                <w:szCs w:val="21"/>
              </w:rPr>
              <w:t>分，其他参数每有一项负偏离扣1分，以上均扣完为止不倒扣。（未依照招标文件要求提供相应证明材料的视为负偏离。）</w:t>
            </w:r>
          </w:p>
        </w:tc>
      </w:tr>
      <w:tr w14:paraId="42D6D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2EDD3BDC">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3</w:t>
            </w:r>
          </w:p>
        </w:tc>
        <w:tc>
          <w:tcPr>
            <w:tcW w:w="1134" w:type="dxa"/>
            <w:tcBorders>
              <w:top w:val="single" w:color="auto" w:sz="4" w:space="0"/>
              <w:left w:val="single" w:color="auto" w:sz="4" w:space="0"/>
              <w:bottom w:val="single" w:color="auto" w:sz="4" w:space="0"/>
              <w:right w:val="single" w:color="auto" w:sz="4" w:space="0"/>
            </w:tcBorders>
            <w:vAlign w:val="center"/>
          </w:tcPr>
          <w:p w14:paraId="7CEA5A29">
            <w:pPr>
              <w:spacing w:line="360" w:lineRule="auto"/>
              <w:jc w:val="center"/>
              <w:rPr>
                <w:rFonts w:ascii="宋体" w:hAnsi="宋体" w:cs="宋体"/>
                <w:color w:val="000000"/>
                <w:kern w:val="0"/>
                <w:sz w:val="21"/>
                <w:szCs w:val="21"/>
              </w:rPr>
            </w:pPr>
            <w:r>
              <w:rPr>
                <w:rFonts w:hint="eastAsia" w:ascii="宋体" w:hAnsi="宋体" w:cs="宋体"/>
                <w:sz w:val="21"/>
                <w:szCs w:val="21"/>
              </w:rPr>
              <w:t>商务部分</w:t>
            </w:r>
          </w:p>
        </w:tc>
        <w:tc>
          <w:tcPr>
            <w:tcW w:w="1041" w:type="dxa"/>
            <w:tcBorders>
              <w:top w:val="single" w:color="auto" w:sz="4" w:space="0"/>
              <w:left w:val="single" w:color="auto" w:sz="4" w:space="0"/>
              <w:bottom w:val="single" w:color="auto" w:sz="4" w:space="0"/>
              <w:right w:val="single" w:color="auto" w:sz="4" w:space="0"/>
            </w:tcBorders>
            <w:vAlign w:val="center"/>
          </w:tcPr>
          <w:p w14:paraId="626518B1">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lang w:val="en-US" w:eastAsia="zh-CN"/>
              </w:rPr>
              <w:t>40</w:t>
            </w:r>
            <w:r>
              <w:rPr>
                <w:rFonts w:hint="eastAsia" w:ascii="宋体" w:hAnsi="宋体" w:cs="宋体"/>
                <w:color w:val="000000"/>
                <w:kern w:val="0"/>
                <w:sz w:val="21"/>
                <w:szCs w:val="21"/>
              </w:rPr>
              <w:t>分</w:t>
            </w:r>
          </w:p>
        </w:tc>
        <w:tc>
          <w:tcPr>
            <w:tcW w:w="6904" w:type="dxa"/>
            <w:tcBorders>
              <w:top w:val="single" w:color="auto" w:sz="4" w:space="0"/>
              <w:left w:val="single" w:color="auto" w:sz="4" w:space="0"/>
              <w:bottom w:val="single" w:color="auto" w:sz="4" w:space="0"/>
              <w:right w:val="single" w:color="auto" w:sz="4" w:space="0"/>
            </w:tcBorders>
            <w:vAlign w:val="center"/>
          </w:tcPr>
          <w:p w14:paraId="1073CA1C">
            <w:pPr>
              <w:spacing w:line="360" w:lineRule="auto"/>
              <w:rPr>
                <w:rFonts w:ascii="宋体" w:hAnsi="宋体" w:cs="宋体"/>
                <w:b/>
                <w:sz w:val="21"/>
                <w:szCs w:val="21"/>
              </w:rPr>
            </w:pPr>
            <w:r>
              <w:rPr>
                <w:rFonts w:hint="eastAsia" w:ascii="宋体" w:hAnsi="宋体"/>
                <w:b/>
                <w:kern w:val="0"/>
                <w:sz w:val="21"/>
                <w:szCs w:val="21"/>
              </w:rPr>
              <w:t>1、</w:t>
            </w:r>
            <w:r>
              <w:rPr>
                <w:rFonts w:hint="eastAsia" w:ascii="宋体" w:hAnsi="宋体" w:cs="宋体"/>
                <w:b/>
                <w:sz w:val="21"/>
                <w:szCs w:val="21"/>
              </w:rPr>
              <w:t>落实绿色产品（节能产品、环境标志产品）优先采购政策（</w:t>
            </w:r>
            <w:r>
              <w:rPr>
                <w:rFonts w:hint="eastAsia" w:ascii="宋体" w:hAnsi="宋体" w:cs="宋体"/>
                <w:b/>
                <w:sz w:val="21"/>
                <w:szCs w:val="21"/>
                <w:lang w:val="en-US" w:eastAsia="zh-CN"/>
              </w:rPr>
              <w:t>满分</w:t>
            </w:r>
            <w:r>
              <w:rPr>
                <w:rFonts w:hint="eastAsia" w:ascii="宋体" w:hAnsi="宋体" w:cs="宋体"/>
                <w:b/>
                <w:sz w:val="21"/>
                <w:szCs w:val="21"/>
              </w:rPr>
              <w:t>2分）</w:t>
            </w:r>
          </w:p>
          <w:p w14:paraId="473D2875">
            <w:pPr>
              <w:spacing w:line="360" w:lineRule="auto"/>
              <w:rPr>
                <w:rFonts w:hint="eastAsia" w:ascii="宋体" w:hAnsi="宋体"/>
                <w:b w:val="0"/>
                <w:bCs/>
                <w:sz w:val="21"/>
                <w:szCs w:val="21"/>
              </w:rPr>
            </w:pPr>
            <w:r>
              <w:rPr>
                <w:rFonts w:hint="eastAsia" w:ascii="宋体" w:hAnsi="宋体"/>
                <w:b w:val="0"/>
                <w:bCs/>
                <w:sz w:val="21"/>
                <w:szCs w:val="21"/>
              </w:rPr>
              <w:t>（1）</w:t>
            </w:r>
            <w:r>
              <w:rPr>
                <w:rFonts w:hint="eastAsia" w:ascii="宋体" w:hAnsi="宋体"/>
                <w:b w:val="0"/>
                <w:bCs/>
                <w:sz w:val="21"/>
                <w:szCs w:val="21"/>
                <w:lang w:val="en-US" w:eastAsia="zh-CN"/>
              </w:rPr>
              <w:t>供应商投报产品</w:t>
            </w:r>
            <w:r>
              <w:rPr>
                <w:rFonts w:hint="eastAsia" w:ascii="宋体" w:hAnsi="宋体"/>
                <w:b w:val="0"/>
                <w:bCs/>
                <w:sz w:val="21"/>
                <w:szCs w:val="21"/>
                <w:lang w:eastAsia="zh-CN"/>
              </w:rPr>
              <w:t>在节能产品政府采购品目清单内(强制采购产品除外)</w:t>
            </w:r>
            <w:r>
              <w:rPr>
                <w:rFonts w:hint="eastAsia" w:ascii="宋体" w:hAnsi="宋体"/>
                <w:b w:val="0"/>
                <w:bCs/>
                <w:sz w:val="21"/>
                <w:szCs w:val="21"/>
              </w:rPr>
              <w:t>，</w:t>
            </w:r>
            <w:r>
              <w:rPr>
                <w:rFonts w:hint="eastAsia" w:ascii="宋体" w:hAnsi="宋体"/>
                <w:b w:val="0"/>
                <w:bCs/>
                <w:sz w:val="21"/>
                <w:szCs w:val="21"/>
                <w:lang w:val="en-US" w:eastAsia="zh-CN"/>
              </w:rPr>
              <w:t>提供</w:t>
            </w:r>
            <w:r>
              <w:rPr>
                <w:rFonts w:hint="eastAsia" w:ascii="宋体" w:hAnsi="宋体"/>
                <w:b w:val="0"/>
                <w:bCs/>
                <w:sz w:val="21"/>
                <w:szCs w:val="21"/>
              </w:rPr>
              <w:t>具有国家确定的认证机构出具的、处于有效期之内的</w:t>
            </w:r>
            <w:r>
              <w:rPr>
                <w:rFonts w:hint="eastAsia" w:ascii="宋体" w:hAnsi="宋体"/>
                <w:b w:val="0"/>
                <w:bCs/>
                <w:sz w:val="21"/>
                <w:szCs w:val="21"/>
                <w:lang w:val="en-US" w:eastAsia="zh-CN"/>
              </w:rPr>
              <w:t>节能产品认证证书的，每提供一份</w:t>
            </w:r>
            <w:r>
              <w:rPr>
                <w:rFonts w:hint="eastAsia" w:ascii="宋体" w:hAnsi="宋体"/>
                <w:b w:val="0"/>
                <w:bCs/>
                <w:sz w:val="21"/>
                <w:szCs w:val="21"/>
              </w:rPr>
              <w:t>得1分，</w:t>
            </w:r>
            <w:r>
              <w:rPr>
                <w:rFonts w:hint="eastAsia" w:ascii="宋体" w:hAnsi="宋体"/>
                <w:b w:val="0"/>
                <w:bCs/>
                <w:sz w:val="21"/>
                <w:szCs w:val="21"/>
                <w:lang w:val="en-US" w:eastAsia="zh-CN"/>
              </w:rPr>
              <w:t>最多得1分，</w:t>
            </w:r>
            <w:r>
              <w:rPr>
                <w:rFonts w:hint="eastAsia" w:ascii="宋体" w:hAnsi="宋体"/>
                <w:b w:val="0"/>
                <w:bCs/>
                <w:sz w:val="21"/>
                <w:szCs w:val="21"/>
              </w:rPr>
              <w:t>没有不得分。</w:t>
            </w:r>
            <w:r>
              <w:rPr>
                <w:rFonts w:hint="eastAsia" w:ascii="宋体" w:hAnsi="宋体"/>
                <w:b w:val="0"/>
                <w:bCs/>
                <w:sz w:val="21"/>
                <w:szCs w:val="21"/>
                <w:lang w:eastAsia="zh-CN"/>
              </w:rPr>
              <w:t>（</w:t>
            </w:r>
            <w:r>
              <w:rPr>
                <w:rFonts w:hint="eastAsia" w:ascii="宋体" w:hAnsi="宋体"/>
                <w:b w:val="0"/>
                <w:bCs/>
                <w:sz w:val="21"/>
                <w:szCs w:val="21"/>
                <w:lang w:val="en-US" w:eastAsia="zh-CN"/>
              </w:rPr>
              <w:t>提供证书原件扫描件</w:t>
            </w:r>
            <w:r>
              <w:rPr>
                <w:rFonts w:hint="eastAsia" w:ascii="宋体" w:hAnsi="宋体"/>
                <w:b w:val="0"/>
                <w:bCs/>
                <w:sz w:val="21"/>
                <w:szCs w:val="21"/>
                <w:lang w:eastAsia="zh-CN"/>
              </w:rPr>
              <w:t>）</w:t>
            </w:r>
          </w:p>
          <w:p w14:paraId="7267824A">
            <w:pPr>
              <w:spacing w:line="360" w:lineRule="auto"/>
              <w:rPr>
                <w:rFonts w:hint="eastAsia" w:ascii="宋体" w:hAnsi="宋体"/>
                <w:b w:val="0"/>
                <w:bCs/>
                <w:sz w:val="21"/>
                <w:szCs w:val="21"/>
                <w:lang w:eastAsia="zh-CN"/>
              </w:rPr>
            </w:pPr>
            <w:r>
              <w:rPr>
                <w:rFonts w:hint="eastAsia" w:ascii="宋体" w:hAnsi="宋体"/>
                <w:b w:val="0"/>
                <w:bCs/>
                <w:sz w:val="21"/>
                <w:szCs w:val="21"/>
              </w:rPr>
              <w:t>（2）</w:t>
            </w:r>
            <w:r>
              <w:rPr>
                <w:rFonts w:hint="eastAsia" w:ascii="宋体" w:hAnsi="宋体"/>
                <w:b w:val="0"/>
                <w:bCs/>
                <w:sz w:val="21"/>
                <w:szCs w:val="21"/>
                <w:lang w:val="en-US" w:eastAsia="zh-CN"/>
              </w:rPr>
              <w:t>供应商投报产品</w:t>
            </w:r>
            <w:r>
              <w:rPr>
                <w:rFonts w:hint="eastAsia" w:ascii="宋体" w:hAnsi="宋体"/>
                <w:b w:val="0"/>
                <w:bCs/>
                <w:sz w:val="21"/>
                <w:szCs w:val="21"/>
                <w:lang w:eastAsia="zh-CN"/>
              </w:rPr>
              <w:t>在环境标志产品品目清单内</w:t>
            </w:r>
            <w:r>
              <w:rPr>
                <w:rFonts w:hint="eastAsia" w:ascii="宋体" w:hAnsi="宋体"/>
                <w:b w:val="0"/>
                <w:bCs/>
                <w:sz w:val="21"/>
                <w:szCs w:val="21"/>
              </w:rPr>
              <w:t>，</w:t>
            </w:r>
            <w:r>
              <w:rPr>
                <w:rFonts w:hint="eastAsia" w:ascii="宋体" w:hAnsi="宋体"/>
                <w:b w:val="0"/>
                <w:bCs/>
                <w:sz w:val="21"/>
                <w:szCs w:val="21"/>
                <w:lang w:val="en-US" w:eastAsia="zh-CN"/>
              </w:rPr>
              <w:t>提供</w:t>
            </w:r>
            <w:r>
              <w:rPr>
                <w:rFonts w:hint="eastAsia" w:ascii="宋体" w:hAnsi="宋体"/>
                <w:b w:val="0"/>
                <w:bCs/>
                <w:sz w:val="21"/>
                <w:szCs w:val="21"/>
              </w:rPr>
              <w:t>具有国家确定的认证机构出具的、处于有效期之内的环境标志产品认证证书的</w:t>
            </w:r>
            <w:r>
              <w:rPr>
                <w:rFonts w:hint="eastAsia" w:ascii="宋体" w:hAnsi="宋体"/>
                <w:b w:val="0"/>
                <w:bCs/>
                <w:sz w:val="21"/>
                <w:szCs w:val="21"/>
                <w:lang w:eastAsia="zh-CN"/>
              </w:rPr>
              <w:t>，</w:t>
            </w:r>
            <w:r>
              <w:rPr>
                <w:rFonts w:hint="eastAsia" w:ascii="宋体" w:hAnsi="宋体"/>
                <w:b w:val="0"/>
                <w:bCs/>
                <w:sz w:val="21"/>
                <w:szCs w:val="21"/>
                <w:lang w:val="en-US" w:eastAsia="zh-CN"/>
              </w:rPr>
              <w:t>每提供一份</w:t>
            </w:r>
            <w:r>
              <w:rPr>
                <w:rFonts w:hint="eastAsia" w:ascii="宋体" w:hAnsi="宋体"/>
                <w:b w:val="0"/>
                <w:bCs/>
                <w:sz w:val="21"/>
                <w:szCs w:val="21"/>
              </w:rPr>
              <w:t>得1分，</w:t>
            </w:r>
            <w:r>
              <w:rPr>
                <w:rFonts w:hint="eastAsia" w:ascii="宋体" w:hAnsi="宋体"/>
                <w:b w:val="0"/>
                <w:bCs/>
                <w:sz w:val="21"/>
                <w:szCs w:val="21"/>
                <w:lang w:val="en-US" w:eastAsia="zh-CN"/>
              </w:rPr>
              <w:t>最多得1分，</w:t>
            </w:r>
            <w:r>
              <w:rPr>
                <w:rFonts w:hint="eastAsia" w:ascii="宋体" w:hAnsi="宋体"/>
                <w:b w:val="0"/>
                <w:bCs/>
                <w:sz w:val="21"/>
                <w:szCs w:val="21"/>
              </w:rPr>
              <w:t>没有不得分。</w:t>
            </w:r>
            <w:r>
              <w:rPr>
                <w:rFonts w:hint="eastAsia" w:ascii="宋体" w:hAnsi="宋体"/>
                <w:b w:val="0"/>
                <w:bCs/>
                <w:sz w:val="21"/>
                <w:szCs w:val="21"/>
                <w:lang w:eastAsia="zh-CN"/>
              </w:rPr>
              <w:t>（</w:t>
            </w:r>
            <w:r>
              <w:rPr>
                <w:rFonts w:hint="eastAsia" w:ascii="宋体" w:hAnsi="宋体"/>
                <w:b w:val="0"/>
                <w:bCs/>
                <w:sz w:val="21"/>
                <w:szCs w:val="21"/>
                <w:lang w:val="en-US" w:eastAsia="zh-CN"/>
              </w:rPr>
              <w:t>提供证书原件扫描件</w:t>
            </w:r>
            <w:r>
              <w:rPr>
                <w:rFonts w:hint="eastAsia" w:ascii="宋体" w:hAnsi="宋体"/>
                <w:b w:val="0"/>
                <w:bCs/>
                <w:sz w:val="21"/>
                <w:szCs w:val="21"/>
                <w:lang w:eastAsia="zh-CN"/>
              </w:rPr>
              <w:t>）</w:t>
            </w:r>
          </w:p>
          <w:p w14:paraId="44A55E15">
            <w:pPr>
              <w:spacing w:line="360" w:lineRule="auto"/>
              <w:rPr>
                <w:rFonts w:ascii="宋体" w:hAnsi="宋体"/>
                <w:sz w:val="21"/>
                <w:szCs w:val="21"/>
              </w:rPr>
            </w:pPr>
            <w:r>
              <w:rPr>
                <w:rFonts w:hint="eastAsia" w:ascii="宋体" w:hAnsi="宋体"/>
                <w:b/>
                <w:sz w:val="21"/>
                <w:szCs w:val="21"/>
                <w:lang w:eastAsia="zh-CN"/>
              </w:rPr>
              <w:t>2.</w:t>
            </w:r>
            <w:r>
              <w:rPr>
                <w:rFonts w:hint="eastAsia" w:ascii="宋体" w:hAnsi="宋体"/>
                <w:b/>
                <w:sz w:val="21"/>
                <w:szCs w:val="21"/>
              </w:rPr>
              <w:t>产品</w:t>
            </w:r>
            <w:r>
              <w:rPr>
                <w:rFonts w:ascii="宋体" w:hAnsi="宋体"/>
                <w:b/>
                <w:bCs/>
                <w:sz w:val="21"/>
                <w:szCs w:val="21"/>
              </w:rPr>
              <w:t>质量保证措施（</w:t>
            </w:r>
            <w:r>
              <w:rPr>
                <w:rFonts w:hint="eastAsia" w:ascii="宋体" w:hAnsi="宋体"/>
                <w:b/>
                <w:bCs/>
                <w:sz w:val="21"/>
                <w:szCs w:val="21"/>
                <w:lang w:val="en-US" w:eastAsia="zh-CN"/>
              </w:rPr>
              <w:t>满分8</w:t>
            </w:r>
            <w:r>
              <w:rPr>
                <w:rFonts w:ascii="宋体" w:hAnsi="宋体"/>
                <w:b/>
                <w:bCs/>
                <w:sz w:val="21"/>
                <w:szCs w:val="21"/>
              </w:rPr>
              <w:t>分）</w:t>
            </w:r>
          </w:p>
          <w:p w14:paraId="3359CB2E">
            <w:pPr>
              <w:spacing w:line="360" w:lineRule="auto"/>
              <w:rPr>
                <w:rFonts w:hint="eastAsia" w:cs="Times New Roman"/>
                <w:sz w:val="21"/>
                <w:szCs w:val="21"/>
                <w:lang w:eastAsia="zh-CN"/>
              </w:rPr>
            </w:pPr>
            <w:r>
              <w:rPr>
                <w:rFonts w:cs="Times New Roman"/>
                <w:sz w:val="21"/>
                <w:szCs w:val="21"/>
              </w:rPr>
              <w:t>评标委员会根据</w:t>
            </w:r>
            <w:r>
              <w:rPr>
                <w:rFonts w:hint="eastAsia" w:cs="Times New Roman"/>
                <w:sz w:val="21"/>
                <w:szCs w:val="21"/>
                <w:lang w:val="en-US" w:eastAsia="zh-CN"/>
              </w:rPr>
              <w:t>供应商提供</w:t>
            </w:r>
            <w:r>
              <w:rPr>
                <w:rFonts w:cs="Times New Roman"/>
                <w:sz w:val="21"/>
                <w:szCs w:val="21"/>
              </w:rPr>
              <w:t>的货物质量保证措施</w:t>
            </w:r>
            <w:r>
              <w:rPr>
                <w:rFonts w:hint="eastAsia" w:cs="Times New Roman"/>
                <w:sz w:val="21"/>
                <w:szCs w:val="21"/>
              </w:rPr>
              <w:t>是否满足</w:t>
            </w:r>
            <w:r>
              <w:rPr>
                <w:rFonts w:hint="eastAsia" w:cs="Times New Roman"/>
                <w:sz w:val="21"/>
                <w:szCs w:val="21"/>
                <w:lang w:val="en-US" w:eastAsia="zh-CN"/>
              </w:rPr>
              <w:t>项目</w:t>
            </w:r>
            <w:r>
              <w:rPr>
                <w:rFonts w:hint="eastAsia" w:cs="Times New Roman"/>
                <w:sz w:val="21"/>
                <w:szCs w:val="21"/>
              </w:rPr>
              <w:t>需求等方面进行打分</w:t>
            </w:r>
            <w:r>
              <w:rPr>
                <w:rFonts w:hint="eastAsia" w:cs="Times New Roman"/>
                <w:sz w:val="21"/>
                <w:szCs w:val="21"/>
                <w:lang w:eastAsia="zh-CN"/>
              </w:rPr>
              <w:t>：</w:t>
            </w:r>
          </w:p>
          <w:p w14:paraId="3B9BBF50">
            <w:pPr>
              <w:spacing w:line="360" w:lineRule="auto"/>
              <w:rPr>
                <w:rFonts w:hint="eastAsia" w:ascii="宋体" w:hAnsi="宋体"/>
                <w:sz w:val="21"/>
                <w:szCs w:val="21"/>
                <w:lang w:eastAsia="zh-CN"/>
              </w:rPr>
            </w:pPr>
            <w:r>
              <w:rPr>
                <w:rFonts w:ascii="宋体" w:hAnsi="宋体"/>
                <w:sz w:val="21"/>
                <w:szCs w:val="21"/>
              </w:rPr>
              <w:t>保证措施全面完善、措施充分、符合本项目实际情况，得</w:t>
            </w:r>
            <w:r>
              <w:rPr>
                <w:rFonts w:hint="eastAsia" w:ascii="宋体" w:hAnsi="宋体"/>
                <w:sz w:val="21"/>
                <w:szCs w:val="21"/>
                <w:lang w:val="en-US" w:eastAsia="zh-CN"/>
              </w:rPr>
              <w:t>8</w:t>
            </w:r>
            <w:r>
              <w:rPr>
                <w:rFonts w:ascii="宋体" w:hAnsi="宋体"/>
                <w:sz w:val="21"/>
                <w:szCs w:val="21"/>
              </w:rPr>
              <w:t>分</w:t>
            </w:r>
            <w:r>
              <w:rPr>
                <w:rFonts w:hint="eastAsia" w:ascii="宋体" w:hAnsi="宋体"/>
                <w:sz w:val="21"/>
                <w:szCs w:val="21"/>
                <w:lang w:eastAsia="zh-CN"/>
              </w:rPr>
              <w:t>；</w:t>
            </w:r>
          </w:p>
          <w:p w14:paraId="61BA7D56">
            <w:pPr>
              <w:spacing w:line="360" w:lineRule="auto"/>
              <w:rPr>
                <w:rFonts w:hint="eastAsia" w:ascii="宋体" w:hAnsi="宋体"/>
                <w:sz w:val="21"/>
                <w:szCs w:val="21"/>
                <w:lang w:eastAsia="zh-CN"/>
              </w:rPr>
            </w:pPr>
            <w:r>
              <w:rPr>
                <w:rFonts w:ascii="宋体" w:hAnsi="宋体"/>
                <w:sz w:val="21"/>
                <w:szCs w:val="21"/>
              </w:rPr>
              <w:t>措施较为完善，符合项目实际的，得</w:t>
            </w:r>
            <w:r>
              <w:rPr>
                <w:rFonts w:hint="eastAsia" w:ascii="宋体" w:hAnsi="宋体"/>
                <w:sz w:val="21"/>
                <w:szCs w:val="21"/>
                <w:lang w:val="en-US" w:eastAsia="zh-CN"/>
              </w:rPr>
              <w:t>5</w:t>
            </w:r>
            <w:r>
              <w:rPr>
                <w:rFonts w:ascii="宋体" w:hAnsi="宋体"/>
                <w:sz w:val="21"/>
                <w:szCs w:val="21"/>
              </w:rPr>
              <w:t>分</w:t>
            </w:r>
            <w:r>
              <w:rPr>
                <w:rFonts w:hint="eastAsia" w:ascii="宋体" w:hAnsi="宋体"/>
                <w:sz w:val="21"/>
                <w:szCs w:val="21"/>
                <w:lang w:eastAsia="zh-CN"/>
              </w:rPr>
              <w:t>；</w:t>
            </w:r>
          </w:p>
          <w:p w14:paraId="630CB1E2">
            <w:pPr>
              <w:spacing w:line="360" w:lineRule="auto"/>
              <w:rPr>
                <w:rFonts w:hint="eastAsia" w:ascii="宋体" w:hAnsi="宋体"/>
                <w:sz w:val="21"/>
                <w:szCs w:val="21"/>
                <w:lang w:val="en-US" w:eastAsia="zh-CN"/>
              </w:rPr>
            </w:pPr>
            <w:r>
              <w:rPr>
                <w:rFonts w:ascii="宋体" w:hAnsi="宋体"/>
                <w:sz w:val="21"/>
                <w:szCs w:val="21"/>
              </w:rPr>
              <w:t>措施描述</w:t>
            </w:r>
            <w:r>
              <w:rPr>
                <w:rFonts w:hint="eastAsia" w:ascii="宋体" w:hAnsi="宋体"/>
                <w:sz w:val="21"/>
                <w:szCs w:val="21"/>
              </w:rPr>
              <w:t>一般</w:t>
            </w:r>
            <w:r>
              <w:rPr>
                <w:rFonts w:ascii="宋体" w:hAnsi="宋体"/>
                <w:sz w:val="21"/>
                <w:szCs w:val="21"/>
              </w:rPr>
              <w:t>，</w:t>
            </w:r>
            <w:r>
              <w:rPr>
                <w:rFonts w:hint="eastAsia" w:ascii="宋体" w:hAnsi="宋体"/>
                <w:sz w:val="21"/>
                <w:szCs w:val="21"/>
                <w:lang w:val="en-US" w:eastAsia="zh-CN"/>
              </w:rPr>
              <w:t>不够完善的得3分；</w:t>
            </w:r>
          </w:p>
          <w:p w14:paraId="667798A0">
            <w:pPr>
              <w:spacing w:line="360" w:lineRule="auto"/>
              <w:rPr>
                <w:rFonts w:ascii="宋体" w:hAnsi="宋体"/>
                <w:sz w:val="21"/>
                <w:szCs w:val="21"/>
              </w:rPr>
            </w:pPr>
            <w:r>
              <w:rPr>
                <w:rFonts w:hint="eastAsia" w:ascii="宋体" w:hAnsi="宋体"/>
                <w:sz w:val="21"/>
                <w:szCs w:val="21"/>
                <w:lang w:val="en-US" w:eastAsia="zh-CN"/>
              </w:rPr>
              <w:t>措施</w:t>
            </w:r>
            <w:r>
              <w:rPr>
                <w:rFonts w:hint="eastAsia" w:ascii="宋体" w:hAnsi="宋体"/>
                <w:sz w:val="21"/>
                <w:szCs w:val="21"/>
              </w:rPr>
              <w:t>较为</w:t>
            </w:r>
            <w:r>
              <w:rPr>
                <w:rFonts w:ascii="宋体" w:hAnsi="宋体"/>
                <w:sz w:val="21"/>
                <w:szCs w:val="21"/>
              </w:rPr>
              <w:t>简单脱离项目实际的，得</w:t>
            </w:r>
            <w:r>
              <w:rPr>
                <w:rFonts w:hint="eastAsia" w:ascii="宋体" w:hAnsi="宋体"/>
                <w:sz w:val="21"/>
                <w:szCs w:val="21"/>
                <w:lang w:val="en-US" w:eastAsia="zh-CN"/>
              </w:rPr>
              <w:t>1</w:t>
            </w:r>
            <w:r>
              <w:rPr>
                <w:rFonts w:ascii="宋体" w:hAnsi="宋体"/>
                <w:sz w:val="21"/>
                <w:szCs w:val="21"/>
              </w:rPr>
              <w:t>分；</w:t>
            </w:r>
          </w:p>
          <w:p w14:paraId="5ECDB811">
            <w:pPr>
              <w:spacing w:line="360" w:lineRule="auto"/>
              <w:rPr>
                <w:rFonts w:ascii="宋体" w:hAnsi="宋体"/>
                <w:sz w:val="21"/>
                <w:szCs w:val="21"/>
              </w:rPr>
            </w:pPr>
            <w:r>
              <w:rPr>
                <w:rFonts w:ascii="宋体" w:hAnsi="宋体"/>
                <w:sz w:val="21"/>
                <w:szCs w:val="21"/>
              </w:rPr>
              <w:t>缺项</w:t>
            </w:r>
            <w:r>
              <w:rPr>
                <w:rFonts w:hint="eastAsia" w:ascii="宋体" w:hAnsi="宋体"/>
                <w:sz w:val="21"/>
                <w:szCs w:val="21"/>
                <w:lang w:val="en-US" w:eastAsia="zh-CN"/>
              </w:rPr>
              <w:t>得0分</w:t>
            </w:r>
            <w:r>
              <w:rPr>
                <w:rFonts w:ascii="宋体" w:hAnsi="宋体"/>
                <w:sz w:val="21"/>
                <w:szCs w:val="21"/>
              </w:rPr>
              <w:t>。</w:t>
            </w:r>
          </w:p>
          <w:p w14:paraId="749E15C2">
            <w:pPr>
              <w:spacing w:line="360" w:lineRule="auto"/>
              <w:rPr>
                <w:rFonts w:ascii="宋体" w:hAnsi="宋体" w:cs="宋体"/>
                <w:b/>
                <w:sz w:val="21"/>
                <w:szCs w:val="21"/>
              </w:rPr>
            </w:pPr>
            <w:r>
              <w:rPr>
                <w:rFonts w:hint="eastAsia" w:ascii="宋体" w:hAnsi="宋体" w:cs="宋体"/>
                <w:b/>
                <w:sz w:val="21"/>
                <w:szCs w:val="21"/>
              </w:rPr>
              <w:t>3</w:t>
            </w:r>
            <w:r>
              <w:rPr>
                <w:rFonts w:hint="eastAsia" w:ascii="宋体" w:hAnsi="宋体" w:cs="宋体"/>
                <w:b/>
                <w:sz w:val="21"/>
                <w:szCs w:val="21"/>
                <w:lang w:val="en-US" w:eastAsia="zh-CN"/>
              </w:rPr>
              <w:t>.</w:t>
            </w:r>
            <w:r>
              <w:rPr>
                <w:rFonts w:hint="eastAsia" w:ascii="宋体" w:hAnsi="宋体" w:cs="宋体"/>
                <w:b/>
                <w:sz w:val="21"/>
                <w:szCs w:val="21"/>
              </w:rPr>
              <w:t>产品供货</w:t>
            </w:r>
            <w:r>
              <w:rPr>
                <w:rFonts w:hint="eastAsia" w:ascii="宋体" w:hAnsi="宋体" w:cs="宋体"/>
                <w:b/>
                <w:sz w:val="21"/>
                <w:szCs w:val="21"/>
                <w:lang w:eastAsia="zh-CN"/>
              </w:rPr>
              <w:t>、</w:t>
            </w:r>
            <w:r>
              <w:rPr>
                <w:rFonts w:hint="eastAsia" w:ascii="宋体" w:hAnsi="宋体" w:cs="宋体"/>
                <w:b/>
                <w:sz w:val="21"/>
                <w:szCs w:val="21"/>
                <w:lang w:val="en-US" w:eastAsia="zh-CN"/>
              </w:rPr>
              <w:t>运输</w:t>
            </w:r>
            <w:r>
              <w:rPr>
                <w:rFonts w:hint="eastAsia" w:ascii="宋体" w:hAnsi="宋体" w:cs="宋体"/>
                <w:b/>
                <w:sz w:val="21"/>
                <w:szCs w:val="21"/>
              </w:rPr>
              <w:t>、安装方案（</w:t>
            </w:r>
            <w:r>
              <w:rPr>
                <w:rFonts w:hint="eastAsia" w:ascii="宋体" w:hAnsi="宋体" w:cs="宋体"/>
                <w:b/>
                <w:sz w:val="21"/>
                <w:szCs w:val="21"/>
                <w:lang w:val="en-US" w:eastAsia="zh-CN"/>
              </w:rPr>
              <w:t>满分8</w:t>
            </w:r>
            <w:r>
              <w:rPr>
                <w:rFonts w:hint="eastAsia" w:ascii="宋体" w:hAnsi="宋体" w:cs="宋体"/>
                <w:b/>
                <w:sz w:val="21"/>
                <w:szCs w:val="21"/>
              </w:rPr>
              <w:t>分）</w:t>
            </w:r>
          </w:p>
          <w:p w14:paraId="03C3C116">
            <w:pPr>
              <w:spacing w:line="360" w:lineRule="auto"/>
              <w:rPr>
                <w:rFonts w:hint="eastAsia" w:ascii="宋体" w:hAnsi="宋体" w:cs="宋体"/>
                <w:sz w:val="21"/>
                <w:szCs w:val="21"/>
                <w:lang w:eastAsia="zh-CN"/>
              </w:rPr>
            </w:pPr>
            <w:r>
              <w:rPr>
                <w:rFonts w:ascii="宋体" w:hAnsi="宋体"/>
                <w:sz w:val="21"/>
                <w:szCs w:val="21"/>
              </w:rPr>
              <w:t>评标委员会根据</w:t>
            </w:r>
            <w:r>
              <w:rPr>
                <w:rFonts w:hint="eastAsia" w:ascii="宋体" w:hAnsi="宋体"/>
                <w:sz w:val="21"/>
                <w:szCs w:val="21"/>
                <w:lang w:val="en-US" w:eastAsia="zh-CN"/>
              </w:rPr>
              <w:t>供应商</w:t>
            </w:r>
            <w:r>
              <w:rPr>
                <w:rFonts w:ascii="宋体" w:hAnsi="宋体"/>
                <w:sz w:val="21"/>
                <w:szCs w:val="21"/>
              </w:rPr>
              <w:t>提供的产品供货</w:t>
            </w:r>
            <w:r>
              <w:rPr>
                <w:rFonts w:hint="eastAsia" w:ascii="宋体" w:hAnsi="宋体"/>
                <w:sz w:val="21"/>
                <w:szCs w:val="21"/>
              </w:rPr>
              <w:t>、</w:t>
            </w:r>
            <w:r>
              <w:rPr>
                <w:rFonts w:ascii="宋体" w:hAnsi="宋体"/>
                <w:sz w:val="21"/>
                <w:szCs w:val="21"/>
              </w:rPr>
              <w:t>安装方案</w:t>
            </w:r>
            <w:r>
              <w:rPr>
                <w:rFonts w:hint="eastAsia" w:ascii="宋体" w:hAnsi="宋体" w:cs="宋体"/>
                <w:sz w:val="21"/>
                <w:szCs w:val="21"/>
              </w:rPr>
              <w:t>的合理性、完整性、是否满足</w:t>
            </w:r>
            <w:r>
              <w:rPr>
                <w:rFonts w:hint="eastAsia" w:ascii="宋体" w:hAnsi="宋体" w:cs="宋体"/>
                <w:sz w:val="21"/>
                <w:szCs w:val="21"/>
                <w:lang w:val="en-US" w:eastAsia="zh-CN"/>
              </w:rPr>
              <w:t>项目</w:t>
            </w:r>
            <w:r>
              <w:rPr>
                <w:rFonts w:hint="eastAsia" w:ascii="宋体" w:hAnsi="宋体" w:cs="宋体"/>
                <w:sz w:val="21"/>
                <w:szCs w:val="21"/>
              </w:rPr>
              <w:t>实际需求等方面进行酌情打分</w:t>
            </w:r>
            <w:r>
              <w:rPr>
                <w:rFonts w:hint="eastAsia" w:ascii="宋体" w:hAnsi="宋体" w:cs="宋体"/>
                <w:sz w:val="21"/>
                <w:szCs w:val="21"/>
                <w:lang w:eastAsia="zh-CN"/>
              </w:rPr>
              <w:t>：</w:t>
            </w:r>
          </w:p>
          <w:p w14:paraId="7F5BA909">
            <w:pPr>
              <w:spacing w:line="360" w:lineRule="auto"/>
              <w:rPr>
                <w:rFonts w:hint="eastAsia" w:ascii="宋体" w:hAnsi="宋体" w:cs="宋体"/>
                <w:sz w:val="21"/>
                <w:szCs w:val="21"/>
              </w:rPr>
            </w:pPr>
            <w:r>
              <w:rPr>
                <w:rFonts w:hint="eastAsia" w:ascii="宋体" w:hAnsi="宋体" w:cs="宋体"/>
                <w:sz w:val="21"/>
                <w:szCs w:val="21"/>
              </w:rPr>
              <w:t>内容完整详细、合理、可行得</w:t>
            </w:r>
            <w:r>
              <w:rPr>
                <w:rFonts w:hint="eastAsia" w:ascii="宋体" w:hAnsi="宋体" w:cs="宋体"/>
                <w:sz w:val="21"/>
                <w:szCs w:val="21"/>
                <w:lang w:val="en-US" w:eastAsia="zh-CN"/>
              </w:rPr>
              <w:t>8</w:t>
            </w:r>
            <w:r>
              <w:rPr>
                <w:rFonts w:hint="eastAsia" w:ascii="宋体" w:hAnsi="宋体" w:cs="宋体"/>
                <w:sz w:val="21"/>
                <w:szCs w:val="21"/>
              </w:rPr>
              <w:t>分；</w:t>
            </w:r>
          </w:p>
          <w:p w14:paraId="366BC31D">
            <w:pPr>
              <w:spacing w:line="360" w:lineRule="auto"/>
              <w:rPr>
                <w:rFonts w:hint="eastAsia" w:ascii="宋体" w:hAnsi="宋体" w:cs="宋体"/>
                <w:sz w:val="21"/>
                <w:szCs w:val="21"/>
              </w:rPr>
            </w:pPr>
            <w:r>
              <w:rPr>
                <w:rFonts w:hint="eastAsia" w:ascii="宋体" w:hAnsi="宋体" w:cs="宋体"/>
                <w:sz w:val="21"/>
                <w:szCs w:val="21"/>
              </w:rPr>
              <w:t>内容较完整、</w:t>
            </w:r>
            <w:r>
              <w:rPr>
                <w:rFonts w:hint="eastAsia" w:ascii="宋体" w:hAnsi="宋体" w:cs="宋体"/>
                <w:sz w:val="21"/>
                <w:szCs w:val="21"/>
                <w:lang w:val="en-US" w:eastAsia="zh-CN"/>
              </w:rPr>
              <w:t>比较</w:t>
            </w:r>
            <w:r>
              <w:rPr>
                <w:rFonts w:hint="eastAsia" w:ascii="宋体" w:hAnsi="宋体" w:cs="宋体"/>
                <w:sz w:val="21"/>
                <w:szCs w:val="21"/>
              </w:rPr>
              <w:t>合理、可行得</w:t>
            </w:r>
            <w:r>
              <w:rPr>
                <w:rFonts w:hint="eastAsia" w:ascii="宋体" w:hAnsi="宋体" w:cs="宋体"/>
                <w:sz w:val="21"/>
                <w:szCs w:val="21"/>
                <w:lang w:val="en-US" w:eastAsia="zh-CN"/>
              </w:rPr>
              <w:t>5</w:t>
            </w:r>
            <w:r>
              <w:rPr>
                <w:rFonts w:hint="eastAsia" w:ascii="宋体" w:hAnsi="宋体" w:cs="宋体"/>
                <w:sz w:val="21"/>
                <w:szCs w:val="21"/>
              </w:rPr>
              <w:t>分；</w:t>
            </w:r>
          </w:p>
          <w:p w14:paraId="0E324070">
            <w:pPr>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内容有一定欠缺，合理性可行性一般得3分；</w:t>
            </w:r>
          </w:p>
          <w:p w14:paraId="17080CE9">
            <w:pPr>
              <w:spacing w:line="360" w:lineRule="auto"/>
              <w:rPr>
                <w:rFonts w:hint="eastAsia" w:ascii="宋体" w:hAnsi="宋体" w:cs="宋体"/>
                <w:sz w:val="21"/>
                <w:szCs w:val="21"/>
              </w:rPr>
            </w:pPr>
            <w:r>
              <w:rPr>
                <w:rFonts w:hint="eastAsia" w:ascii="宋体" w:hAnsi="宋体" w:cs="宋体"/>
                <w:sz w:val="21"/>
                <w:szCs w:val="21"/>
              </w:rPr>
              <w:t>内容欠缺、合理</w:t>
            </w:r>
            <w:r>
              <w:rPr>
                <w:rFonts w:hint="eastAsia" w:ascii="宋体" w:hAnsi="宋体" w:cs="宋体"/>
                <w:sz w:val="21"/>
                <w:szCs w:val="21"/>
                <w:lang w:val="en-US" w:eastAsia="zh-CN"/>
              </w:rPr>
              <w:t>性</w:t>
            </w:r>
            <w:r>
              <w:rPr>
                <w:rFonts w:hint="eastAsia" w:ascii="宋体" w:hAnsi="宋体" w:cs="宋体"/>
                <w:sz w:val="21"/>
                <w:szCs w:val="21"/>
              </w:rPr>
              <w:t>可行</w:t>
            </w:r>
            <w:r>
              <w:rPr>
                <w:rFonts w:hint="eastAsia" w:ascii="宋体" w:hAnsi="宋体" w:cs="宋体"/>
                <w:sz w:val="21"/>
                <w:szCs w:val="21"/>
                <w:lang w:val="en-US" w:eastAsia="zh-CN"/>
              </w:rPr>
              <w:t>性较差</w:t>
            </w:r>
            <w:r>
              <w:rPr>
                <w:rFonts w:hint="eastAsia" w:ascii="宋体" w:hAnsi="宋体" w:cs="宋体"/>
                <w:sz w:val="21"/>
                <w:szCs w:val="21"/>
              </w:rPr>
              <w:t>得</w:t>
            </w:r>
            <w:r>
              <w:rPr>
                <w:rFonts w:hint="eastAsia" w:ascii="宋体" w:hAnsi="宋体" w:cs="宋体"/>
                <w:sz w:val="21"/>
                <w:szCs w:val="21"/>
                <w:lang w:val="en-US" w:eastAsia="zh-CN"/>
              </w:rPr>
              <w:t>1</w:t>
            </w:r>
            <w:r>
              <w:rPr>
                <w:rFonts w:hint="eastAsia" w:ascii="宋体" w:hAnsi="宋体" w:cs="宋体"/>
                <w:sz w:val="21"/>
                <w:szCs w:val="21"/>
              </w:rPr>
              <w:t>分；</w:t>
            </w:r>
          </w:p>
          <w:p w14:paraId="10CDFCF3">
            <w:pPr>
              <w:spacing w:line="360" w:lineRule="auto"/>
              <w:rPr>
                <w:rFonts w:ascii="宋体" w:hAnsi="宋体" w:cs="宋体"/>
                <w:sz w:val="21"/>
                <w:szCs w:val="21"/>
              </w:rPr>
            </w:pPr>
            <w:r>
              <w:rPr>
                <w:rFonts w:hint="eastAsia" w:ascii="宋体" w:hAnsi="宋体" w:cs="宋体"/>
                <w:sz w:val="21"/>
                <w:szCs w:val="21"/>
                <w:lang w:val="en-US" w:eastAsia="zh-CN"/>
              </w:rPr>
              <w:t>缺项</w:t>
            </w:r>
            <w:r>
              <w:rPr>
                <w:rFonts w:hint="eastAsia" w:ascii="宋体" w:hAnsi="宋体"/>
                <w:sz w:val="21"/>
                <w:szCs w:val="21"/>
                <w:lang w:val="en-US" w:eastAsia="zh-CN"/>
              </w:rPr>
              <w:t>得0分</w:t>
            </w:r>
            <w:r>
              <w:rPr>
                <w:rFonts w:hint="eastAsia" w:ascii="宋体" w:hAnsi="宋体" w:cs="宋体"/>
                <w:sz w:val="21"/>
                <w:szCs w:val="21"/>
              </w:rPr>
              <w:t>。</w:t>
            </w:r>
          </w:p>
          <w:p w14:paraId="5233FAAF">
            <w:pPr>
              <w:widowControl/>
              <w:numPr>
                <w:ilvl w:val="0"/>
                <w:numId w:val="0"/>
              </w:numPr>
              <w:spacing w:line="360" w:lineRule="auto"/>
              <w:rPr>
                <w:rFonts w:ascii="宋体" w:hAnsi="宋体"/>
                <w:b/>
                <w:bCs/>
                <w:sz w:val="21"/>
                <w:szCs w:val="21"/>
              </w:rPr>
            </w:pPr>
            <w:r>
              <w:rPr>
                <w:rFonts w:ascii="宋体" w:hAnsi="宋体" w:eastAsia="宋体" w:cs="Times New Roman"/>
                <w:b/>
                <w:bCs/>
                <w:kern w:val="2"/>
                <w:sz w:val="21"/>
                <w:szCs w:val="21"/>
                <w:lang w:val="en-US" w:eastAsia="zh-CN" w:bidi="ar-SA"/>
              </w:rPr>
              <w:t>4</w:t>
            </w:r>
            <w:r>
              <w:rPr>
                <w:rFonts w:hint="eastAsia" w:ascii="宋体" w:hAnsi="宋体" w:cs="Times New Roman"/>
                <w:b/>
                <w:bCs/>
                <w:kern w:val="2"/>
                <w:sz w:val="21"/>
                <w:szCs w:val="21"/>
                <w:lang w:val="en-US" w:eastAsia="zh-CN" w:bidi="ar-SA"/>
              </w:rPr>
              <w:t>.</w:t>
            </w:r>
            <w:r>
              <w:rPr>
                <w:rFonts w:ascii="宋体" w:hAnsi="宋体"/>
                <w:b/>
                <w:bCs/>
                <w:sz w:val="21"/>
                <w:szCs w:val="21"/>
              </w:rPr>
              <w:t>培训</w:t>
            </w:r>
            <w:r>
              <w:rPr>
                <w:rFonts w:hint="eastAsia" w:ascii="宋体" w:hAnsi="宋体"/>
                <w:b/>
                <w:bCs/>
                <w:sz w:val="21"/>
                <w:szCs w:val="21"/>
                <w:lang w:val="en-US" w:eastAsia="zh-CN"/>
              </w:rPr>
              <w:t>方案</w:t>
            </w:r>
            <w:r>
              <w:rPr>
                <w:rFonts w:ascii="宋体" w:hAnsi="宋体"/>
                <w:b/>
                <w:bCs/>
                <w:sz w:val="21"/>
                <w:szCs w:val="21"/>
              </w:rPr>
              <w:t>（满分</w:t>
            </w:r>
            <w:r>
              <w:rPr>
                <w:rFonts w:hint="eastAsia" w:ascii="宋体" w:hAnsi="宋体"/>
                <w:b/>
                <w:bCs/>
                <w:sz w:val="21"/>
                <w:szCs w:val="21"/>
                <w:lang w:val="en-US" w:eastAsia="zh-CN"/>
              </w:rPr>
              <w:t>8</w:t>
            </w:r>
            <w:r>
              <w:rPr>
                <w:rFonts w:ascii="宋体" w:hAnsi="宋体"/>
                <w:b/>
                <w:bCs/>
                <w:sz w:val="21"/>
                <w:szCs w:val="21"/>
              </w:rPr>
              <w:t>分）</w:t>
            </w:r>
          </w:p>
          <w:p w14:paraId="6756E638">
            <w:pPr>
              <w:widowControl/>
              <w:numPr>
                <w:ilvl w:val="0"/>
                <w:numId w:val="0"/>
              </w:numPr>
              <w:spacing w:line="360" w:lineRule="auto"/>
              <w:rPr>
                <w:rFonts w:hint="eastAsia" w:ascii="宋体" w:hAnsi="宋体"/>
                <w:sz w:val="21"/>
                <w:szCs w:val="21"/>
                <w:lang w:eastAsia="zh-CN"/>
              </w:rPr>
            </w:pPr>
            <w:r>
              <w:rPr>
                <w:rFonts w:cs="Times New Roman"/>
                <w:sz w:val="21"/>
                <w:szCs w:val="21"/>
              </w:rPr>
              <w:t>评标委员会根据</w:t>
            </w:r>
            <w:r>
              <w:rPr>
                <w:rFonts w:hint="eastAsia" w:cs="Times New Roman"/>
                <w:sz w:val="21"/>
                <w:szCs w:val="21"/>
                <w:lang w:val="en-US" w:eastAsia="zh-CN"/>
              </w:rPr>
              <w:t>供应商</w:t>
            </w:r>
            <w:r>
              <w:rPr>
                <w:rFonts w:cs="Times New Roman"/>
                <w:sz w:val="21"/>
                <w:szCs w:val="21"/>
              </w:rPr>
              <w:t>为本项目制定的用户培训</w:t>
            </w:r>
            <w:r>
              <w:rPr>
                <w:rFonts w:hint="eastAsia" w:cs="Times New Roman"/>
                <w:sz w:val="21"/>
                <w:szCs w:val="21"/>
                <w:lang w:val="en-US" w:eastAsia="zh-CN"/>
              </w:rPr>
              <w:t>方案</w:t>
            </w:r>
            <w:r>
              <w:rPr>
                <w:rFonts w:hint="eastAsia" w:cs="Times New Roman"/>
                <w:sz w:val="21"/>
                <w:szCs w:val="21"/>
                <w:lang w:eastAsia="zh-CN"/>
              </w:rPr>
              <w:t>（</w:t>
            </w:r>
            <w:r>
              <w:rPr>
                <w:rFonts w:hint="eastAsia" w:cs="Times New Roman"/>
                <w:sz w:val="21"/>
                <w:szCs w:val="21"/>
                <w:lang w:val="en-US" w:eastAsia="zh-CN"/>
              </w:rPr>
              <w:t>包含但不限于培训内容、培训时长、培训次数、培训团队等</w:t>
            </w:r>
            <w:r>
              <w:rPr>
                <w:rFonts w:hint="eastAsia" w:cs="Times New Roman"/>
                <w:sz w:val="21"/>
                <w:szCs w:val="21"/>
                <w:lang w:eastAsia="zh-CN"/>
              </w:rPr>
              <w:t>）</w:t>
            </w:r>
            <w:r>
              <w:rPr>
                <w:rFonts w:hint="eastAsia" w:cs="Times New Roman"/>
                <w:sz w:val="21"/>
                <w:szCs w:val="21"/>
                <w:lang w:val="en-US" w:eastAsia="zh-CN"/>
              </w:rPr>
              <w:t>进行打分</w:t>
            </w:r>
            <w:r>
              <w:rPr>
                <w:rFonts w:hint="eastAsia" w:ascii="宋体" w:hAnsi="宋体"/>
                <w:sz w:val="21"/>
                <w:szCs w:val="21"/>
                <w:lang w:eastAsia="zh-CN"/>
              </w:rPr>
              <w:t>：</w:t>
            </w:r>
          </w:p>
          <w:p w14:paraId="45700A63">
            <w:pPr>
              <w:widowControl/>
              <w:numPr>
                <w:ilvl w:val="0"/>
                <w:numId w:val="0"/>
              </w:numPr>
              <w:spacing w:line="360" w:lineRule="auto"/>
              <w:rPr>
                <w:rFonts w:hint="eastAsia" w:ascii="宋体" w:hAnsi="宋体"/>
                <w:sz w:val="21"/>
                <w:szCs w:val="21"/>
                <w:lang w:eastAsia="zh-CN"/>
              </w:rPr>
            </w:pPr>
            <w:r>
              <w:rPr>
                <w:rFonts w:ascii="宋体" w:hAnsi="宋体"/>
                <w:sz w:val="21"/>
                <w:szCs w:val="21"/>
              </w:rPr>
              <w:t>培训</w:t>
            </w:r>
            <w:r>
              <w:rPr>
                <w:rFonts w:hint="eastAsia" w:ascii="宋体" w:hAnsi="宋体"/>
                <w:sz w:val="21"/>
                <w:szCs w:val="21"/>
                <w:lang w:val="en-US" w:eastAsia="zh-CN"/>
              </w:rPr>
              <w:t>方案</w:t>
            </w:r>
            <w:r>
              <w:rPr>
                <w:rFonts w:ascii="宋体" w:hAnsi="宋体"/>
                <w:sz w:val="21"/>
                <w:szCs w:val="21"/>
              </w:rPr>
              <w:t>考虑全面科学、完善合理、切实可行、符合项目实际情况，得</w:t>
            </w:r>
            <w:r>
              <w:rPr>
                <w:rFonts w:hint="eastAsia" w:ascii="宋体" w:hAnsi="宋体"/>
                <w:sz w:val="21"/>
                <w:szCs w:val="21"/>
                <w:lang w:val="en-US" w:eastAsia="zh-CN"/>
              </w:rPr>
              <w:t>8</w:t>
            </w:r>
            <w:r>
              <w:rPr>
                <w:rFonts w:ascii="宋体" w:hAnsi="宋体"/>
                <w:sz w:val="21"/>
                <w:szCs w:val="21"/>
              </w:rPr>
              <w:t>分</w:t>
            </w:r>
            <w:r>
              <w:rPr>
                <w:rFonts w:hint="eastAsia" w:ascii="宋体" w:hAnsi="宋体"/>
                <w:sz w:val="21"/>
                <w:szCs w:val="21"/>
                <w:lang w:eastAsia="zh-CN"/>
              </w:rPr>
              <w:t>；</w:t>
            </w:r>
          </w:p>
          <w:p w14:paraId="0CBAB284">
            <w:pPr>
              <w:widowControl/>
              <w:numPr>
                <w:ilvl w:val="0"/>
                <w:numId w:val="0"/>
              </w:numPr>
              <w:spacing w:line="360" w:lineRule="auto"/>
              <w:rPr>
                <w:rFonts w:hint="eastAsia" w:ascii="宋体" w:hAnsi="宋体"/>
                <w:sz w:val="21"/>
                <w:szCs w:val="21"/>
                <w:lang w:val="en-US" w:eastAsia="zh-CN"/>
              </w:rPr>
            </w:pPr>
            <w:r>
              <w:rPr>
                <w:rFonts w:hint="eastAsia" w:ascii="宋体" w:hAnsi="宋体"/>
                <w:sz w:val="21"/>
                <w:szCs w:val="21"/>
                <w:lang w:val="en-US" w:eastAsia="zh-CN"/>
              </w:rPr>
              <w:t>方案比较详细、合理、可行得5分；</w:t>
            </w:r>
          </w:p>
          <w:p w14:paraId="202C194A">
            <w:pPr>
              <w:widowControl/>
              <w:numPr>
                <w:ilvl w:val="0"/>
                <w:numId w:val="0"/>
              </w:numPr>
              <w:spacing w:line="360" w:lineRule="auto"/>
              <w:rPr>
                <w:rFonts w:hint="eastAsia" w:ascii="宋体" w:hAnsi="宋体" w:eastAsia="宋体"/>
                <w:sz w:val="21"/>
                <w:szCs w:val="21"/>
                <w:lang w:eastAsia="zh-CN"/>
              </w:rPr>
            </w:pPr>
            <w:r>
              <w:rPr>
                <w:rFonts w:hint="eastAsia" w:ascii="宋体" w:hAnsi="宋体"/>
                <w:sz w:val="21"/>
                <w:szCs w:val="21"/>
                <w:lang w:val="en-US" w:eastAsia="zh-CN"/>
              </w:rPr>
              <w:t>方案</w:t>
            </w:r>
            <w:r>
              <w:rPr>
                <w:rFonts w:ascii="宋体" w:hAnsi="宋体"/>
                <w:sz w:val="21"/>
                <w:szCs w:val="21"/>
              </w:rPr>
              <w:t>不够详细，</w:t>
            </w:r>
            <w:r>
              <w:rPr>
                <w:rFonts w:hint="eastAsia" w:ascii="宋体" w:hAnsi="宋体" w:cs="宋体"/>
                <w:sz w:val="21"/>
                <w:szCs w:val="21"/>
                <w:lang w:val="en-US" w:eastAsia="zh-CN"/>
              </w:rPr>
              <w:t>合理性可行性一般得</w:t>
            </w:r>
            <w:r>
              <w:rPr>
                <w:rFonts w:hint="eastAsia" w:ascii="宋体" w:hAnsi="宋体"/>
                <w:sz w:val="21"/>
                <w:szCs w:val="21"/>
                <w:lang w:val="en-US" w:eastAsia="zh-CN"/>
              </w:rPr>
              <w:t>3</w:t>
            </w:r>
            <w:r>
              <w:rPr>
                <w:rFonts w:ascii="宋体" w:hAnsi="宋体"/>
                <w:sz w:val="21"/>
                <w:szCs w:val="21"/>
              </w:rPr>
              <w:t>分</w:t>
            </w:r>
            <w:r>
              <w:rPr>
                <w:rFonts w:hint="eastAsia" w:ascii="宋体" w:hAnsi="宋体"/>
                <w:sz w:val="21"/>
                <w:szCs w:val="21"/>
                <w:lang w:eastAsia="zh-CN"/>
              </w:rPr>
              <w:t>；</w:t>
            </w:r>
          </w:p>
          <w:p w14:paraId="66876990">
            <w:pPr>
              <w:widowControl/>
              <w:numPr>
                <w:ilvl w:val="0"/>
                <w:numId w:val="0"/>
              </w:numPr>
              <w:spacing w:line="360" w:lineRule="auto"/>
              <w:rPr>
                <w:rFonts w:ascii="宋体" w:hAnsi="宋体"/>
                <w:sz w:val="21"/>
                <w:szCs w:val="21"/>
              </w:rPr>
            </w:pPr>
            <w:r>
              <w:rPr>
                <w:rFonts w:hint="eastAsia" w:ascii="宋体" w:hAnsi="宋体"/>
                <w:sz w:val="21"/>
                <w:szCs w:val="21"/>
                <w:lang w:val="en-US" w:eastAsia="zh-CN"/>
              </w:rPr>
              <w:t>方案简单</w:t>
            </w:r>
            <w:r>
              <w:rPr>
                <w:rFonts w:ascii="宋体" w:hAnsi="宋体"/>
                <w:sz w:val="21"/>
                <w:szCs w:val="21"/>
              </w:rPr>
              <w:t>，</w:t>
            </w:r>
            <w:r>
              <w:rPr>
                <w:rFonts w:hint="eastAsia" w:ascii="宋体" w:hAnsi="宋体" w:cs="宋体"/>
                <w:sz w:val="21"/>
                <w:szCs w:val="21"/>
                <w:lang w:val="en-US" w:eastAsia="zh-CN"/>
              </w:rPr>
              <w:t>合理性可行性较差</w:t>
            </w:r>
            <w:r>
              <w:rPr>
                <w:rFonts w:ascii="宋体" w:hAnsi="宋体"/>
                <w:sz w:val="21"/>
                <w:szCs w:val="21"/>
              </w:rPr>
              <w:t>得</w:t>
            </w:r>
            <w:r>
              <w:rPr>
                <w:rFonts w:hint="eastAsia" w:ascii="宋体" w:hAnsi="宋体"/>
                <w:sz w:val="21"/>
                <w:szCs w:val="21"/>
                <w:lang w:val="en-US" w:eastAsia="zh-CN"/>
              </w:rPr>
              <w:t>1</w:t>
            </w:r>
            <w:r>
              <w:rPr>
                <w:rFonts w:ascii="宋体" w:hAnsi="宋体"/>
                <w:sz w:val="21"/>
                <w:szCs w:val="21"/>
              </w:rPr>
              <w:t>分；</w:t>
            </w:r>
          </w:p>
          <w:p w14:paraId="750271CD">
            <w:pPr>
              <w:widowControl/>
              <w:numPr>
                <w:ilvl w:val="0"/>
                <w:numId w:val="0"/>
              </w:numPr>
              <w:spacing w:line="360" w:lineRule="auto"/>
              <w:rPr>
                <w:rFonts w:ascii="宋体" w:hAnsi="宋体"/>
                <w:sz w:val="21"/>
                <w:szCs w:val="21"/>
              </w:rPr>
            </w:pPr>
            <w:r>
              <w:rPr>
                <w:rFonts w:ascii="宋体" w:hAnsi="宋体"/>
                <w:sz w:val="21"/>
                <w:szCs w:val="21"/>
              </w:rPr>
              <w:t>缺项</w:t>
            </w:r>
            <w:r>
              <w:rPr>
                <w:rFonts w:hint="eastAsia" w:ascii="宋体" w:hAnsi="宋体"/>
                <w:sz w:val="21"/>
                <w:szCs w:val="21"/>
                <w:lang w:val="en-US" w:eastAsia="zh-CN"/>
              </w:rPr>
              <w:t>得0分</w:t>
            </w:r>
            <w:r>
              <w:rPr>
                <w:rFonts w:ascii="宋体" w:hAnsi="宋体"/>
                <w:sz w:val="21"/>
                <w:szCs w:val="21"/>
              </w:rPr>
              <w:t>。</w:t>
            </w:r>
          </w:p>
          <w:p w14:paraId="7B107470">
            <w:pPr>
              <w:widowControl/>
              <w:numPr>
                <w:ilvl w:val="0"/>
                <w:numId w:val="0"/>
              </w:numPr>
              <w:spacing w:line="360" w:lineRule="auto"/>
              <w:ind w:left="0" w:leftChars="0" w:firstLine="0" w:firstLineChars="0"/>
              <w:rPr>
                <w:rFonts w:ascii="宋体" w:hAnsi="宋体"/>
                <w:b/>
                <w:bCs/>
                <w:sz w:val="21"/>
                <w:szCs w:val="21"/>
              </w:rPr>
            </w:pPr>
            <w:r>
              <w:rPr>
                <w:rFonts w:ascii="宋体" w:hAnsi="宋体" w:eastAsia="宋体" w:cs="Times New Roman"/>
                <w:b/>
                <w:bCs/>
                <w:kern w:val="2"/>
                <w:sz w:val="21"/>
                <w:szCs w:val="21"/>
                <w:lang w:val="en-US" w:eastAsia="zh-CN" w:bidi="ar-SA"/>
              </w:rPr>
              <w:t>5</w:t>
            </w:r>
            <w:r>
              <w:rPr>
                <w:rFonts w:hint="eastAsia" w:ascii="宋体" w:hAnsi="宋体" w:cs="Times New Roman"/>
                <w:b/>
                <w:bCs/>
                <w:kern w:val="2"/>
                <w:sz w:val="21"/>
                <w:szCs w:val="21"/>
                <w:lang w:val="en-US" w:eastAsia="zh-CN" w:bidi="ar-SA"/>
              </w:rPr>
              <w:t>.</w:t>
            </w:r>
            <w:r>
              <w:rPr>
                <w:rFonts w:ascii="宋体" w:hAnsi="宋体"/>
                <w:b/>
                <w:bCs/>
                <w:sz w:val="21"/>
                <w:szCs w:val="21"/>
              </w:rPr>
              <w:t>售后服务方案（满分</w:t>
            </w:r>
            <w:r>
              <w:rPr>
                <w:rFonts w:hint="eastAsia" w:ascii="宋体" w:hAnsi="宋体"/>
                <w:b/>
                <w:bCs/>
                <w:sz w:val="21"/>
                <w:szCs w:val="21"/>
                <w:lang w:val="en-US" w:eastAsia="zh-CN"/>
              </w:rPr>
              <w:t>7</w:t>
            </w:r>
            <w:r>
              <w:rPr>
                <w:rFonts w:ascii="宋体" w:hAnsi="宋体"/>
                <w:b/>
                <w:bCs/>
                <w:sz w:val="21"/>
                <w:szCs w:val="21"/>
              </w:rPr>
              <w:t>分）</w:t>
            </w:r>
          </w:p>
          <w:p w14:paraId="2198E2A0">
            <w:pPr>
              <w:widowControl/>
              <w:spacing w:line="360" w:lineRule="auto"/>
              <w:rPr>
                <w:rFonts w:hint="eastAsia" w:eastAsia="宋体" w:cs="Times New Roman"/>
                <w:sz w:val="21"/>
                <w:szCs w:val="21"/>
                <w:lang w:eastAsia="zh-CN"/>
              </w:rPr>
            </w:pPr>
            <w:r>
              <w:rPr>
                <w:rFonts w:cs="Times New Roman"/>
                <w:sz w:val="21"/>
                <w:szCs w:val="21"/>
              </w:rPr>
              <w:t>评委根据</w:t>
            </w:r>
            <w:r>
              <w:rPr>
                <w:rFonts w:hint="eastAsia" w:cs="Times New Roman"/>
                <w:sz w:val="21"/>
                <w:szCs w:val="21"/>
                <w:lang w:val="en-US" w:eastAsia="zh-CN"/>
              </w:rPr>
              <w:t>供应商提供的</w:t>
            </w:r>
            <w:r>
              <w:rPr>
                <w:rFonts w:cs="Times New Roman"/>
                <w:sz w:val="21"/>
                <w:szCs w:val="21"/>
              </w:rPr>
              <w:t>售后服务方案，包括</w:t>
            </w:r>
            <w:r>
              <w:rPr>
                <w:rFonts w:hint="eastAsia" w:cs="Times New Roman"/>
                <w:sz w:val="21"/>
                <w:szCs w:val="21"/>
                <w:lang w:val="en-US" w:eastAsia="zh-CN"/>
              </w:rPr>
              <w:t>但不限于</w:t>
            </w:r>
            <w:r>
              <w:rPr>
                <w:rFonts w:cs="Times New Roman"/>
                <w:sz w:val="21"/>
                <w:szCs w:val="21"/>
              </w:rPr>
              <w:t>售后服务机构设置情况、服务内容、服务体系、响应方式、响应时间、</w:t>
            </w:r>
            <w:r>
              <w:rPr>
                <w:rFonts w:ascii="宋体" w:hAnsi="宋体"/>
                <w:sz w:val="21"/>
                <w:szCs w:val="21"/>
              </w:rPr>
              <w:t>质保期</w:t>
            </w:r>
            <w:r>
              <w:rPr>
                <w:rFonts w:hint="eastAsia" w:ascii="宋体" w:hAnsi="宋体"/>
                <w:sz w:val="21"/>
                <w:szCs w:val="21"/>
                <w:lang w:val="en-US" w:eastAsia="zh-CN"/>
              </w:rPr>
              <w:t>及质保期内外服务承诺</w:t>
            </w:r>
            <w:r>
              <w:rPr>
                <w:rFonts w:cs="Times New Roman"/>
                <w:sz w:val="21"/>
                <w:szCs w:val="21"/>
              </w:rPr>
              <w:t>等具体内容</w:t>
            </w:r>
            <w:r>
              <w:rPr>
                <w:rFonts w:hint="eastAsia" w:cs="Times New Roman"/>
                <w:sz w:val="21"/>
                <w:szCs w:val="21"/>
                <w:lang w:val="en-US" w:eastAsia="zh-CN"/>
              </w:rPr>
              <w:t>进行打分</w:t>
            </w:r>
            <w:r>
              <w:rPr>
                <w:rFonts w:hint="eastAsia" w:cs="Times New Roman"/>
                <w:sz w:val="21"/>
                <w:szCs w:val="21"/>
                <w:lang w:eastAsia="zh-CN"/>
              </w:rPr>
              <w:t>：</w:t>
            </w:r>
          </w:p>
          <w:p w14:paraId="5FC3F0E8">
            <w:pPr>
              <w:widowControl/>
              <w:numPr>
                <w:ilvl w:val="0"/>
                <w:numId w:val="0"/>
              </w:numPr>
              <w:spacing w:line="360" w:lineRule="auto"/>
              <w:ind w:leftChars="0"/>
              <w:rPr>
                <w:rFonts w:ascii="宋体" w:hAnsi="宋体"/>
                <w:sz w:val="21"/>
                <w:szCs w:val="21"/>
              </w:rPr>
            </w:pPr>
            <w:r>
              <w:rPr>
                <w:rFonts w:ascii="宋体" w:hAnsi="宋体"/>
                <w:sz w:val="21"/>
                <w:szCs w:val="21"/>
              </w:rPr>
              <w:t>售后服务方案全面科学、完善合理、切实可行、符合项目实际情况，对采购人有利得</w:t>
            </w:r>
            <w:r>
              <w:rPr>
                <w:rFonts w:hint="eastAsia" w:ascii="宋体" w:hAnsi="宋体"/>
                <w:sz w:val="21"/>
                <w:szCs w:val="21"/>
                <w:lang w:val="en-US" w:eastAsia="zh-CN"/>
              </w:rPr>
              <w:t>7</w:t>
            </w:r>
            <w:r>
              <w:rPr>
                <w:rFonts w:ascii="宋体" w:hAnsi="宋体"/>
                <w:sz w:val="21"/>
                <w:szCs w:val="21"/>
              </w:rPr>
              <w:t>分；</w:t>
            </w:r>
          </w:p>
          <w:p w14:paraId="66C76382">
            <w:pPr>
              <w:widowControl/>
              <w:numPr>
                <w:ilvl w:val="0"/>
                <w:numId w:val="0"/>
              </w:numPr>
              <w:spacing w:line="360" w:lineRule="auto"/>
              <w:ind w:leftChars="0"/>
              <w:rPr>
                <w:rFonts w:hint="eastAsia" w:ascii="宋体" w:hAnsi="宋体"/>
                <w:sz w:val="21"/>
                <w:szCs w:val="21"/>
                <w:lang w:val="en-US" w:eastAsia="zh-CN"/>
              </w:rPr>
            </w:pPr>
            <w:r>
              <w:rPr>
                <w:rFonts w:hint="eastAsia" w:ascii="宋体" w:hAnsi="宋体"/>
                <w:sz w:val="21"/>
                <w:szCs w:val="21"/>
                <w:lang w:val="en-US" w:eastAsia="zh-CN"/>
              </w:rPr>
              <w:t>方案比较详细、合理可行的得5分；</w:t>
            </w:r>
          </w:p>
          <w:p w14:paraId="4B08B558">
            <w:pPr>
              <w:widowControl/>
              <w:numPr>
                <w:ilvl w:val="0"/>
                <w:numId w:val="0"/>
              </w:numPr>
              <w:spacing w:line="360" w:lineRule="auto"/>
              <w:ind w:leftChars="0"/>
              <w:rPr>
                <w:rFonts w:ascii="宋体" w:hAnsi="宋体"/>
                <w:sz w:val="21"/>
                <w:szCs w:val="21"/>
              </w:rPr>
            </w:pPr>
            <w:r>
              <w:rPr>
                <w:rFonts w:ascii="宋体" w:hAnsi="宋体"/>
                <w:sz w:val="21"/>
                <w:szCs w:val="21"/>
              </w:rPr>
              <w:t>方案不够详细，</w:t>
            </w:r>
            <w:r>
              <w:rPr>
                <w:rFonts w:hint="eastAsia" w:ascii="宋体" w:hAnsi="宋体"/>
                <w:sz w:val="21"/>
                <w:szCs w:val="21"/>
                <w:lang w:val="en-US" w:eastAsia="zh-CN"/>
              </w:rPr>
              <w:t>合理性可行性一般的得3</w:t>
            </w:r>
            <w:r>
              <w:rPr>
                <w:rFonts w:ascii="宋体" w:hAnsi="宋体"/>
                <w:sz w:val="21"/>
                <w:szCs w:val="21"/>
              </w:rPr>
              <w:t>分；</w:t>
            </w:r>
          </w:p>
          <w:p w14:paraId="0977EEAF">
            <w:pPr>
              <w:widowControl/>
              <w:numPr>
                <w:ilvl w:val="0"/>
                <w:numId w:val="0"/>
              </w:numPr>
              <w:spacing w:line="360" w:lineRule="auto"/>
              <w:ind w:leftChars="0"/>
              <w:rPr>
                <w:rFonts w:ascii="宋体" w:hAnsi="宋体"/>
                <w:sz w:val="21"/>
                <w:szCs w:val="21"/>
              </w:rPr>
            </w:pPr>
            <w:r>
              <w:rPr>
                <w:rFonts w:ascii="宋体" w:hAnsi="宋体"/>
                <w:sz w:val="21"/>
                <w:szCs w:val="21"/>
              </w:rPr>
              <w:t>方案</w:t>
            </w:r>
            <w:r>
              <w:rPr>
                <w:rFonts w:hint="eastAsia" w:ascii="宋体" w:hAnsi="宋体"/>
                <w:sz w:val="21"/>
                <w:szCs w:val="21"/>
                <w:lang w:val="en-US" w:eastAsia="zh-CN"/>
              </w:rPr>
              <w:t>简单</w:t>
            </w:r>
            <w:r>
              <w:rPr>
                <w:rFonts w:ascii="宋体" w:hAnsi="宋体"/>
                <w:sz w:val="21"/>
                <w:szCs w:val="21"/>
              </w:rPr>
              <w:t>，</w:t>
            </w:r>
            <w:r>
              <w:rPr>
                <w:rFonts w:hint="eastAsia" w:ascii="宋体" w:hAnsi="宋体"/>
                <w:sz w:val="21"/>
                <w:szCs w:val="21"/>
                <w:lang w:val="en-US" w:eastAsia="zh-CN"/>
              </w:rPr>
              <w:t>合理性可行性较差</w:t>
            </w:r>
            <w:r>
              <w:rPr>
                <w:rFonts w:hint="eastAsia" w:ascii="宋体" w:hAnsi="宋体"/>
                <w:sz w:val="21"/>
                <w:szCs w:val="21"/>
                <w:lang w:eastAsia="zh-CN"/>
              </w:rPr>
              <w:t>的</w:t>
            </w:r>
            <w:r>
              <w:rPr>
                <w:rFonts w:ascii="宋体" w:hAnsi="宋体"/>
                <w:sz w:val="21"/>
                <w:szCs w:val="21"/>
              </w:rPr>
              <w:t>得</w:t>
            </w:r>
            <w:r>
              <w:rPr>
                <w:rFonts w:hint="eastAsia" w:ascii="宋体" w:hAnsi="宋体"/>
                <w:sz w:val="21"/>
                <w:szCs w:val="21"/>
                <w:lang w:val="en-US" w:eastAsia="zh-CN"/>
              </w:rPr>
              <w:t>1</w:t>
            </w:r>
            <w:r>
              <w:rPr>
                <w:rFonts w:ascii="宋体" w:hAnsi="宋体"/>
                <w:sz w:val="21"/>
                <w:szCs w:val="21"/>
              </w:rPr>
              <w:t>分；</w:t>
            </w:r>
          </w:p>
          <w:p w14:paraId="4049354B">
            <w:pPr>
              <w:widowControl/>
              <w:numPr>
                <w:ilvl w:val="0"/>
                <w:numId w:val="0"/>
              </w:numPr>
              <w:spacing w:line="360" w:lineRule="auto"/>
              <w:ind w:leftChars="0"/>
              <w:rPr>
                <w:rFonts w:ascii="宋体" w:hAnsi="宋体"/>
                <w:sz w:val="21"/>
                <w:szCs w:val="21"/>
              </w:rPr>
            </w:pPr>
            <w:r>
              <w:rPr>
                <w:rFonts w:ascii="宋体" w:hAnsi="宋体"/>
                <w:sz w:val="21"/>
                <w:szCs w:val="21"/>
              </w:rPr>
              <w:t>缺项</w:t>
            </w:r>
            <w:r>
              <w:rPr>
                <w:rFonts w:hint="eastAsia" w:ascii="宋体" w:hAnsi="宋体"/>
                <w:sz w:val="21"/>
                <w:szCs w:val="21"/>
                <w:lang w:val="en-US" w:eastAsia="zh-CN"/>
              </w:rPr>
              <w:t>得0分</w:t>
            </w:r>
            <w:r>
              <w:rPr>
                <w:rFonts w:ascii="宋体" w:hAnsi="宋体"/>
                <w:sz w:val="21"/>
                <w:szCs w:val="21"/>
              </w:rPr>
              <w:t>。</w:t>
            </w:r>
          </w:p>
          <w:p w14:paraId="09960E0B">
            <w:pPr>
              <w:widowControl/>
              <w:numPr>
                <w:ilvl w:val="0"/>
                <w:numId w:val="0"/>
              </w:numPr>
              <w:spacing w:line="360" w:lineRule="auto"/>
              <w:ind w:left="0" w:leftChars="0" w:firstLine="0" w:firstLineChars="0"/>
              <w:rPr>
                <w:rFonts w:ascii="宋体" w:hAnsi="宋体"/>
                <w:b/>
                <w:bCs/>
                <w:sz w:val="21"/>
                <w:szCs w:val="21"/>
              </w:rPr>
            </w:pPr>
            <w:r>
              <w:rPr>
                <w:rFonts w:ascii="宋体" w:hAnsi="宋体" w:eastAsia="宋体" w:cs="Times New Roman"/>
                <w:b/>
                <w:bCs/>
                <w:kern w:val="2"/>
                <w:sz w:val="21"/>
                <w:szCs w:val="21"/>
                <w:lang w:val="en-US" w:eastAsia="zh-CN" w:bidi="ar-SA"/>
              </w:rPr>
              <w:t>6</w:t>
            </w:r>
            <w:r>
              <w:rPr>
                <w:rFonts w:hint="eastAsia" w:ascii="宋体" w:hAnsi="宋体" w:cs="Times New Roman"/>
                <w:b/>
                <w:bCs/>
                <w:kern w:val="2"/>
                <w:sz w:val="21"/>
                <w:szCs w:val="21"/>
                <w:lang w:val="en-US" w:eastAsia="zh-CN" w:bidi="ar-SA"/>
              </w:rPr>
              <w:t>.</w:t>
            </w:r>
            <w:r>
              <w:rPr>
                <w:rFonts w:ascii="宋体" w:hAnsi="宋体"/>
                <w:b/>
                <w:bCs/>
                <w:sz w:val="21"/>
                <w:szCs w:val="21"/>
              </w:rPr>
              <w:t>应急保障措施（满分</w:t>
            </w:r>
            <w:r>
              <w:rPr>
                <w:rFonts w:hint="eastAsia" w:ascii="宋体" w:hAnsi="宋体"/>
                <w:b/>
                <w:bCs/>
                <w:sz w:val="21"/>
                <w:szCs w:val="21"/>
                <w:lang w:val="en-US" w:eastAsia="zh-CN"/>
              </w:rPr>
              <w:t>7</w:t>
            </w:r>
            <w:r>
              <w:rPr>
                <w:rFonts w:ascii="宋体" w:hAnsi="宋体"/>
                <w:b/>
                <w:bCs/>
                <w:sz w:val="21"/>
                <w:szCs w:val="21"/>
              </w:rPr>
              <w:t>分）</w:t>
            </w:r>
          </w:p>
          <w:p w14:paraId="670BC929">
            <w:pPr>
              <w:widowControl/>
              <w:numPr>
                <w:ilvl w:val="0"/>
                <w:numId w:val="0"/>
              </w:numPr>
              <w:spacing w:line="360" w:lineRule="auto"/>
              <w:ind w:leftChars="0"/>
              <w:rPr>
                <w:rFonts w:ascii="宋体" w:hAnsi="宋体"/>
                <w:sz w:val="21"/>
                <w:szCs w:val="21"/>
              </w:rPr>
            </w:pPr>
            <w:r>
              <w:rPr>
                <w:rFonts w:cs="Times New Roman"/>
                <w:sz w:val="21"/>
                <w:szCs w:val="21"/>
              </w:rPr>
              <w:t>评委根据</w:t>
            </w:r>
            <w:r>
              <w:rPr>
                <w:rFonts w:hint="eastAsia" w:cs="Times New Roman"/>
                <w:sz w:val="21"/>
                <w:szCs w:val="21"/>
                <w:lang w:val="en-US" w:eastAsia="zh-CN"/>
              </w:rPr>
              <w:t>供应商提供的应急保障措施，包含但不限于</w:t>
            </w:r>
            <w:r>
              <w:rPr>
                <w:rFonts w:cs="Times New Roman"/>
                <w:sz w:val="21"/>
                <w:szCs w:val="21"/>
              </w:rPr>
              <w:t>紧急故障处理预案、备货应急方案、解决问题的能力及保障措</w:t>
            </w:r>
            <w:r>
              <w:rPr>
                <w:rFonts w:hint="eastAsia" w:cs="Times New Roman"/>
                <w:sz w:val="21"/>
                <w:szCs w:val="21"/>
                <w:lang w:val="en-US" w:eastAsia="zh-CN"/>
              </w:rPr>
              <w:t>方案</w:t>
            </w:r>
            <w:r>
              <w:rPr>
                <w:rFonts w:cs="Times New Roman"/>
                <w:sz w:val="21"/>
                <w:szCs w:val="21"/>
              </w:rPr>
              <w:t>施</w:t>
            </w:r>
            <w:r>
              <w:rPr>
                <w:rFonts w:ascii="宋体" w:hAnsi="宋体"/>
                <w:sz w:val="21"/>
                <w:szCs w:val="21"/>
              </w:rPr>
              <w:t>酌情打分</w:t>
            </w:r>
            <w:r>
              <w:rPr>
                <w:rFonts w:hint="eastAsia" w:ascii="宋体" w:hAnsi="宋体"/>
                <w:sz w:val="21"/>
                <w:szCs w:val="21"/>
                <w:lang w:eastAsia="zh-CN"/>
              </w:rPr>
              <w:t>：</w:t>
            </w:r>
          </w:p>
          <w:p w14:paraId="30215662">
            <w:pPr>
              <w:widowControl/>
              <w:numPr>
                <w:ilvl w:val="0"/>
                <w:numId w:val="0"/>
              </w:numPr>
              <w:spacing w:line="360" w:lineRule="auto"/>
              <w:ind w:leftChars="0"/>
              <w:rPr>
                <w:rFonts w:ascii="宋体" w:hAnsi="宋体"/>
                <w:sz w:val="21"/>
                <w:szCs w:val="21"/>
              </w:rPr>
            </w:pPr>
            <w:r>
              <w:rPr>
                <w:rFonts w:ascii="宋体" w:hAnsi="宋体"/>
                <w:sz w:val="21"/>
                <w:szCs w:val="21"/>
              </w:rPr>
              <w:t>充分考虑</w:t>
            </w:r>
            <w:r>
              <w:rPr>
                <w:rFonts w:hint="eastAsia" w:ascii="宋体" w:hAnsi="宋体"/>
                <w:sz w:val="21"/>
                <w:szCs w:val="21"/>
                <w:lang w:val="en-US" w:eastAsia="zh-CN"/>
              </w:rPr>
              <w:t>各种应急情况</w:t>
            </w:r>
            <w:r>
              <w:rPr>
                <w:rFonts w:ascii="宋体" w:hAnsi="宋体"/>
                <w:sz w:val="21"/>
                <w:szCs w:val="21"/>
              </w:rPr>
              <w:t>，保障措施科学完善，针对性强，符合项目实际情况，切实可行得</w:t>
            </w:r>
            <w:r>
              <w:rPr>
                <w:rFonts w:hint="eastAsia" w:ascii="宋体" w:hAnsi="宋体"/>
                <w:sz w:val="21"/>
                <w:szCs w:val="21"/>
                <w:lang w:val="en-US" w:eastAsia="zh-CN"/>
              </w:rPr>
              <w:t>7</w:t>
            </w:r>
            <w:r>
              <w:rPr>
                <w:rFonts w:ascii="宋体" w:hAnsi="宋体"/>
                <w:sz w:val="21"/>
                <w:szCs w:val="21"/>
              </w:rPr>
              <w:t>分；</w:t>
            </w:r>
          </w:p>
          <w:p w14:paraId="61C1FF8F">
            <w:pPr>
              <w:widowControl/>
              <w:numPr>
                <w:ilvl w:val="0"/>
                <w:numId w:val="0"/>
              </w:numPr>
              <w:spacing w:line="360" w:lineRule="auto"/>
              <w:ind w:leftChars="0"/>
              <w:rPr>
                <w:rFonts w:hint="eastAsia" w:ascii="宋体" w:hAnsi="宋体"/>
                <w:sz w:val="21"/>
                <w:szCs w:val="21"/>
                <w:lang w:val="en-US" w:eastAsia="zh-CN"/>
              </w:rPr>
            </w:pPr>
            <w:r>
              <w:rPr>
                <w:rFonts w:hint="eastAsia" w:ascii="宋体" w:hAnsi="宋体"/>
                <w:sz w:val="21"/>
                <w:szCs w:val="21"/>
                <w:lang w:val="en-US" w:eastAsia="zh-CN"/>
              </w:rPr>
              <w:t>保障措施较为完善、合理、可行得5分；</w:t>
            </w:r>
          </w:p>
          <w:p w14:paraId="1B282DD1">
            <w:pPr>
              <w:widowControl/>
              <w:numPr>
                <w:ilvl w:val="0"/>
                <w:numId w:val="0"/>
              </w:numPr>
              <w:spacing w:line="360" w:lineRule="auto"/>
              <w:ind w:leftChars="0"/>
              <w:rPr>
                <w:rFonts w:hint="eastAsia" w:ascii="宋体" w:hAnsi="宋体"/>
                <w:sz w:val="21"/>
                <w:szCs w:val="21"/>
                <w:lang w:val="en-US" w:eastAsia="zh-CN"/>
              </w:rPr>
            </w:pPr>
            <w:r>
              <w:rPr>
                <w:rFonts w:hint="eastAsia" w:ascii="宋体" w:hAnsi="宋体"/>
                <w:sz w:val="21"/>
                <w:szCs w:val="21"/>
                <w:lang w:val="en-US" w:eastAsia="zh-CN"/>
              </w:rPr>
              <w:t>措施不够详细，合理性可行性一般得3分；</w:t>
            </w:r>
          </w:p>
          <w:p w14:paraId="028E078A">
            <w:pPr>
              <w:widowControl/>
              <w:numPr>
                <w:ilvl w:val="0"/>
                <w:numId w:val="0"/>
              </w:numPr>
              <w:spacing w:line="360" w:lineRule="auto"/>
              <w:ind w:leftChars="0"/>
              <w:rPr>
                <w:rFonts w:ascii="宋体" w:hAnsi="宋体"/>
                <w:sz w:val="21"/>
                <w:szCs w:val="21"/>
              </w:rPr>
            </w:pPr>
            <w:r>
              <w:rPr>
                <w:rFonts w:hint="eastAsia" w:ascii="宋体" w:hAnsi="宋体"/>
                <w:sz w:val="21"/>
                <w:szCs w:val="21"/>
                <w:lang w:val="en-US" w:eastAsia="zh-CN"/>
              </w:rPr>
              <w:t>措施简单，</w:t>
            </w:r>
            <w:r>
              <w:rPr>
                <w:rFonts w:ascii="宋体" w:hAnsi="宋体"/>
                <w:sz w:val="21"/>
                <w:szCs w:val="21"/>
              </w:rPr>
              <w:t>解决问题能力</w:t>
            </w:r>
            <w:r>
              <w:rPr>
                <w:rFonts w:hint="eastAsia" w:ascii="宋体" w:hAnsi="宋体"/>
                <w:sz w:val="21"/>
                <w:szCs w:val="21"/>
                <w:lang w:val="en-US" w:eastAsia="zh-CN"/>
              </w:rPr>
              <w:t>欠缺</w:t>
            </w:r>
            <w:r>
              <w:rPr>
                <w:rFonts w:ascii="宋体" w:hAnsi="宋体"/>
                <w:sz w:val="21"/>
                <w:szCs w:val="21"/>
              </w:rPr>
              <w:t>得</w:t>
            </w:r>
            <w:r>
              <w:rPr>
                <w:rFonts w:hint="eastAsia" w:ascii="宋体" w:hAnsi="宋体"/>
                <w:sz w:val="21"/>
                <w:szCs w:val="21"/>
                <w:lang w:val="en-US" w:eastAsia="zh-CN"/>
              </w:rPr>
              <w:t>1</w:t>
            </w:r>
            <w:r>
              <w:rPr>
                <w:rFonts w:ascii="宋体" w:hAnsi="宋体"/>
                <w:sz w:val="21"/>
                <w:szCs w:val="21"/>
              </w:rPr>
              <w:t>分；</w:t>
            </w:r>
          </w:p>
          <w:p w14:paraId="21E04733">
            <w:pPr>
              <w:spacing w:line="360" w:lineRule="auto"/>
              <w:rPr>
                <w:rFonts w:ascii="宋体" w:hAnsi="宋体"/>
                <w:sz w:val="21"/>
                <w:szCs w:val="21"/>
              </w:rPr>
            </w:pPr>
            <w:r>
              <w:rPr>
                <w:rFonts w:ascii="宋体" w:hAnsi="宋体"/>
                <w:sz w:val="21"/>
                <w:szCs w:val="21"/>
              </w:rPr>
              <w:t>缺项</w:t>
            </w:r>
            <w:r>
              <w:rPr>
                <w:rFonts w:hint="eastAsia" w:ascii="宋体" w:hAnsi="宋体"/>
                <w:sz w:val="21"/>
                <w:szCs w:val="21"/>
                <w:lang w:val="en-US" w:eastAsia="zh-CN"/>
              </w:rPr>
              <w:t>得0分</w:t>
            </w:r>
            <w:r>
              <w:rPr>
                <w:rFonts w:ascii="宋体" w:hAnsi="宋体"/>
                <w:sz w:val="21"/>
                <w:szCs w:val="21"/>
              </w:rPr>
              <w:t>。</w:t>
            </w:r>
          </w:p>
        </w:tc>
      </w:tr>
      <w:tr w14:paraId="75F6E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9853" w:type="dxa"/>
            <w:gridSpan w:val="4"/>
            <w:tcBorders>
              <w:top w:val="single" w:color="auto" w:sz="4" w:space="0"/>
              <w:left w:val="single" w:color="auto" w:sz="4" w:space="0"/>
              <w:bottom w:val="single" w:color="auto" w:sz="4" w:space="0"/>
              <w:right w:val="single" w:color="auto" w:sz="4" w:space="0"/>
            </w:tcBorders>
            <w:vAlign w:val="center"/>
          </w:tcPr>
          <w:p w14:paraId="504DD067">
            <w:pPr>
              <w:autoSpaceDE w:val="0"/>
              <w:autoSpaceDN w:val="0"/>
              <w:spacing w:line="360" w:lineRule="auto"/>
              <w:rPr>
                <w:rFonts w:ascii="宋体" w:hAnsi="宋体"/>
                <w:kern w:val="0"/>
                <w:sz w:val="21"/>
                <w:szCs w:val="21"/>
              </w:rPr>
            </w:pPr>
            <w:r>
              <w:rPr>
                <w:rFonts w:ascii="宋体" w:hAnsi="宋体"/>
                <w:kern w:val="0"/>
                <w:sz w:val="21"/>
                <w:szCs w:val="21"/>
              </w:rPr>
              <w:t>供应商综合得分=投标报价得分+技术部分得分+商务部分得分。满分</w:t>
            </w:r>
            <w:r>
              <w:rPr>
                <w:rFonts w:hint="eastAsia" w:ascii="宋体" w:hAnsi="宋体"/>
                <w:kern w:val="0"/>
                <w:sz w:val="21"/>
                <w:szCs w:val="21"/>
              </w:rPr>
              <w:t>100分。</w:t>
            </w:r>
          </w:p>
          <w:p w14:paraId="5551517A">
            <w:pPr>
              <w:autoSpaceDE w:val="0"/>
              <w:autoSpaceDN w:val="0"/>
              <w:spacing w:line="360" w:lineRule="auto"/>
              <w:rPr>
                <w:rFonts w:ascii="宋体" w:hAnsi="宋体"/>
                <w:kern w:val="0"/>
                <w:sz w:val="21"/>
                <w:szCs w:val="21"/>
              </w:rPr>
            </w:pPr>
            <w:r>
              <w:rPr>
                <w:rFonts w:ascii="宋体" w:hAnsi="宋体"/>
                <w:kern w:val="0"/>
                <w:sz w:val="21"/>
                <w:szCs w:val="21"/>
              </w:rPr>
              <w:t>供应商最终得分：</w:t>
            </w:r>
          </w:p>
          <w:p w14:paraId="79BE3109">
            <w:pPr>
              <w:autoSpaceDE w:val="0"/>
              <w:autoSpaceDN w:val="0"/>
              <w:spacing w:line="360" w:lineRule="auto"/>
              <w:rPr>
                <w:rFonts w:ascii="宋体" w:hAnsi="宋体"/>
                <w:kern w:val="0"/>
                <w:sz w:val="21"/>
                <w:szCs w:val="21"/>
              </w:rPr>
            </w:pPr>
            <w:r>
              <w:rPr>
                <w:rFonts w:ascii="宋体" w:hAnsi="宋体"/>
                <w:kern w:val="0"/>
                <w:sz w:val="21"/>
                <w:szCs w:val="21"/>
              </w:rPr>
              <w:t>1、评标委员会完成评审后，按所有评委评分结果平均值作为该供应商最终得分。</w:t>
            </w:r>
          </w:p>
          <w:p w14:paraId="6419CBCB">
            <w:pPr>
              <w:autoSpaceDE w:val="0"/>
              <w:autoSpaceDN w:val="0"/>
              <w:spacing w:line="360" w:lineRule="auto"/>
              <w:rPr>
                <w:rFonts w:ascii="宋体" w:hAnsi="宋体"/>
                <w:kern w:val="0"/>
                <w:sz w:val="21"/>
                <w:szCs w:val="21"/>
              </w:rPr>
            </w:pPr>
            <w:r>
              <w:rPr>
                <w:rFonts w:ascii="宋体" w:hAnsi="宋体"/>
                <w:kern w:val="0"/>
                <w:sz w:val="21"/>
                <w:szCs w:val="21"/>
              </w:rPr>
              <w:t>2、本办法计算过程中分值按四舍五入保留二位小数。</w:t>
            </w:r>
          </w:p>
          <w:p w14:paraId="3A75ED45">
            <w:pPr>
              <w:spacing w:line="360" w:lineRule="auto"/>
              <w:rPr>
                <w:rFonts w:ascii="宋体" w:hAnsi="宋体"/>
                <w:b/>
                <w:kern w:val="0"/>
                <w:sz w:val="21"/>
                <w:szCs w:val="21"/>
              </w:rPr>
            </w:pPr>
            <w:r>
              <w:rPr>
                <w:rFonts w:ascii="宋体" w:hAnsi="宋体"/>
                <w:kern w:val="0"/>
                <w:sz w:val="21"/>
                <w:szCs w:val="21"/>
              </w:rPr>
              <w:t>同一品牌处理方法：提供相同品牌产品且通过资格审查、符合性审查的不同供应商参加同一合同项下投标的，按一家供应商计算，评审后得分最高的同品牌供应商获得中标人推荐资格</w:t>
            </w:r>
            <w:r>
              <w:rPr>
                <w:rFonts w:hint="eastAsia" w:ascii="宋体" w:hAnsi="宋体"/>
                <w:kern w:val="0"/>
                <w:sz w:val="21"/>
                <w:szCs w:val="21"/>
              </w:rPr>
              <w:t>；</w:t>
            </w:r>
            <w:r>
              <w:rPr>
                <w:rFonts w:ascii="宋体" w:hAnsi="宋体"/>
                <w:kern w:val="0"/>
                <w:sz w:val="21"/>
                <w:szCs w:val="21"/>
              </w:rPr>
              <w:t>评审得分相同的，由采购人或者采购人委托评标委员会按照招标文件规定的方式确定一个供应商获得中标人推荐资格，招标文件未规定有评标委员会采取随机抽取方式确定，其他同品牌供应商不作为中标候选人。非单一产品采购项目，采购人应当根据采购项目技术构成、产品价格比重等合理确定核心产品，并在招标文件中载明。多家</w:t>
            </w:r>
            <w:r>
              <w:rPr>
                <w:rFonts w:hint="eastAsia" w:ascii="宋体" w:hAnsi="宋体"/>
                <w:kern w:val="0"/>
                <w:sz w:val="21"/>
                <w:szCs w:val="21"/>
                <w:lang w:eastAsia="zh-CN"/>
              </w:rPr>
              <w:t>供应商</w:t>
            </w:r>
            <w:r>
              <w:rPr>
                <w:rFonts w:ascii="宋体" w:hAnsi="宋体"/>
                <w:kern w:val="0"/>
                <w:sz w:val="21"/>
                <w:szCs w:val="21"/>
              </w:rPr>
              <w:t>提供的核心产品品牌相同的，按以上规定处理。评标委员会对通过以上评审的供应商，按最终得分从高到低排序，确定1-3名中标候选人。综合评分相等时，以投标报价低的优先；投标报价也相等的，以技术标得分高的优先。</w:t>
            </w:r>
          </w:p>
        </w:tc>
      </w:tr>
    </w:tbl>
    <w:p w14:paraId="103CF11A">
      <w:pPr>
        <w:pStyle w:val="18"/>
      </w:pPr>
    </w:p>
    <w:p w14:paraId="5CC2805A">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20.3 确定实质上响应招标文件且满足下列条件之一者为中标候选供应商（或中标供应商）：</w:t>
      </w:r>
    </w:p>
    <w:p w14:paraId="25DF831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本项目采用综合评分法，按评标总得分由高到低顺序排列。得分相同的，按投标报价由低到高顺序排列。得分与投标报价均相同的，按技术指标优劣排列。得分、投标报价与技术指标均相同的，按服务优劣排列。以上全部相同的，通过随机抽取产生。</w:t>
      </w:r>
    </w:p>
    <w:p w14:paraId="1E7E2495">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20.4 评标结果汇总完成后，除下列情形外，任何人不得修改评标结果：</w:t>
      </w:r>
    </w:p>
    <w:p w14:paraId="40DF2DF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（1）分值汇总计算错误的；</w:t>
      </w:r>
    </w:p>
    <w:p w14:paraId="72B370C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（2）分项评分超出评分标准范围的；</w:t>
      </w:r>
    </w:p>
    <w:p w14:paraId="21B95E14">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（3）评标委员会成员对客观评审因素评分不一致的；</w:t>
      </w:r>
    </w:p>
    <w:p w14:paraId="29A3A474">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（4）经评标委员会认定评分畸高、畸低的。</w:t>
      </w:r>
    </w:p>
    <w:p w14:paraId="2BD20BAA">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监督部门。</w:t>
      </w:r>
    </w:p>
    <w:p w14:paraId="43863D42">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对以上情形提出质疑的，采购人或者采购代理机构可以组织原评标委员会进行重新评审，重新评审改变评标结果的，应当书面报告本级监督部门。</w:t>
      </w:r>
    </w:p>
    <w:p w14:paraId="1FAA8B3C">
      <w:pPr>
        <w:pStyle w:val="4"/>
        <w:ind w:firstLine="422"/>
        <w:jc w:val="center"/>
        <w:rPr>
          <w:rFonts w:ascii="宋体" w:hAnsi="宋体" w:cs="宋体"/>
          <w:sz w:val="21"/>
          <w:szCs w:val="21"/>
          <w:lang w:val="zh-CN"/>
        </w:rPr>
      </w:pPr>
      <w:bookmarkStart w:id="687" w:name="_Toc19096"/>
      <w:bookmarkStart w:id="688" w:name="_Toc8033_WPSOffice_Level2"/>
      <w:bookmarkStart w:id="689" w:name="_Toc351"/>
      <w:bookmarkStart w:id="690" w:name="_Toc13727"/>
      <w:bookmarkStart w:id="691" w:name="_Toc21057"/>
      <w:bookmarkStart w:id="692" w:name="_Toc4766"/>
      <w:bookmarkStart w:id="693" w:name="_Toc7254"/>
      <w:bookmarkStart w:id="694" w:name="_Toc24872"/>
      <w:bookmarkStart w:id="695" w:name="_Toc16473"/>
      <w:bookmarkStart w:id="696" w:name="_Toc29306"/>
      <w:bookmarkStart w:id="697" w:name="_Toc6710"/>
      <w:bookmarkStart w:id="698" w:name="_Toc17390"/>
      <w:bookmarkStart w:id="699" w:name="_Toc28628_WPSOffice_Level2"/>
      <w:bookmarkStart w:id="700" w:name="_Toc32082"/>
      <w:bookmarkStart w:id="701" w:name="_Toc14339"/>
      <w:bookmarkStart w:id="702" w:name="_Toc21228"/>
      <w:bookmarkStart w:id="703" w:name="_Toc10142"/>
      <w:bookmarkStart w:id="704" w:name="_Toc15586"/>
      <w:bookmarkStart w:id="705" w:name="_Toc23975"/>
      <w:bookmarkStart w:id="706" w:name="_Toc23539"/>
      <w:bookmarkStart w:id="707" w:name="_Toc6459"/>
      <w:bookmarkStart w:id="708" w:name="_Toc16336"/>
      <w:bookmarkStart w:id="709" w:name="_Toc12015"/>
      <w:bookmarkStart w:id="710" w:name="_Toc15793"/>
      <w:r>
        <w:rPr>
          <w:rFonts w:hint="eastAsia" w:ascii="宋体" w:hAnsi="宋体" w:cs="宋体"/>
          <w:sz w:val="21"/>
          <w:szCs w:val="21"/>
          <w:lang w:val="zh-CN"/>
        </w:rPr>
        <w:t>八、中标</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05C1F9FB">
      <w:pPr>
        <w:spacing w:line="360" w:lineRule="auto"/>
        <w:outlineLvl w:val="2"/>
        <w:rPr>
          <w:rFonts w:ascii="宋体" w:hAnsi="宋体" w:cs="宋体"/>
          <w:b/>
          <w:bCs/>
          <w:sz w:val="21"/>
          <w:szCs w:val="21"/>
          <w:lang w:val="zh-CN"/>
        </w:rPr>
      </w:pPr>
      <w:bookmarkStart w:id="711" w:name="_Toc8836"/>
      <w:bookmarkStart w:id="712" w:name="_Toc31450"/>
      <w:bookmarkStart w:id="713" w:name="_Toc32680"/>
      <w:bookmarkStart w:id="714" w:name="_Toc25631"/>
      <w:bookmarkStart w:id="715" w:name="_Toc11287"/>
      <w:bookmarkStart w:id="716" w:name="_Toc23078_WPSOffice_Level3"/>
      <w:bookmarkStart w:id="717" w:name="_Toc25388"/>
      <w:bookmarkStart w:id="718" w:name="_Toc5533"/>
      <w:bookmarkStart w:id="719" w:name="_Toc16197"/>
      <w:bookmarkStart w:id="720" w:name="_Toc8247"/>
      <w:bookmarkStart w:id="721" w:name="_Toc9806"/>
      <w:bookmarkStart w:id="722" w:name="_Toc20275"/>
      <w:bookmarkStart w:id="723" w:name="_Toc23108"/>
      <w:bookmarkStart w:id="724" w:name="_Toc26239"/>
      <w:bookmarkStart w:id="725" w:name="_Toc1293"/>
      <w:bookmarkStart w:id="726" w:name="_Toc18813"/>
      <w:bookmarkStart w:id="727" w:name="_Toc3432"/>
      <w:bookmarkStart w:id="728" w:name="_Toc1517"/>
      <w:bookmarkStart w:id="729" w:name="_Toc23761"/>
      <w:bookmarkStart w:id="730" w:name="_Toc23688"/>
      <w:bookmarkStart w:id="731" w:name="_Toc15432"/>
      <w:r>
        <w:rPr>
          <w:rFonts w:hint="eastAsia" w:ascii="宋体" w:hAnsi="宋体" w:cs="宋体"/>
          <w:b/>
          <w:bCs/>
          <w:sz w:val="21"/>
          <w:szCs w:val="21"/>
          <w:lang w:val="zh-CN"/>
        </w:rPr>
        <w:t>21、推荐并确定中标人</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11E13BBF">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rPr>
        <w:t>21.1 采购代理机构应当在评标结束后2个工作日内将评标报告送采购人。采购人应当自收到评标报告之日起5个工作日</w:t>
      </w:r>
      <w:r>
        <w:rPr>
          <w:rFonts w:hint="eastAsia" w:ascii="宋体" w:hAnsi="宋体" w:cs="宋体"/>
          <w:color w:val="000000" w:themeColor="text1"/>
          <w:sz w:val="21"/>
          <w:szCs w:val="21"/>
          <w14:textFill>
            <w14:solidFill>
              <w14:schemeClr w14:val="tx1"/>
            </w14:solidFill>
          </w14:textFill>
        </w:rPr>
        <w:t>内</w:t>
      </w:r>
      <w:r>
        <w:rPr>
          <w:rFonts w:hint="eastAsia" w:ascii="宋体" w:hAnsi="宋体" w:cs="宋体"/>
          <w:color w:val="000000" w:themeColor="text1"/>
          <w:kern w:val="0"/>
          <w:sz w:val="21"/>
          <w:szCs w:val="21"/>
          <w14:textFill>
            <w14:solidFill>
              <w14:schemeClr w14:val="tx1"/>
            </w14:solidFill>
          </w14:textFill>
        </w:rPr>
        <w:t>（如有最新文件，依据最新文件规定）</w:t>
      </w:r>
      <w:r>
        <w:rPr>
          <w:rFonts w:hint="eastAsia" w:ascii="宋体" w:hAnsi="宋体" w:cs="宋体"/>
          <w:color w:val="000000" w:themeColor="text1"/>
          <w:sz w:val="21"/>
          <w:szCs w:val="21"/>
          <w14:textFill>
            <w14:solidFill>
              <w14:schemeClr w14:val="tx1"/>
            </w14:solidFill>
          </w14:textFill>
        </w:rPr>
        <w:t>，在评标报告确定的中标候选人名单中按顺序确定中标人。中标候选人并列的，由采购人委托评标委员会按照</w:t>
      </w:r>
      <w:r>
        <w:rPr>
          <w:rFonts w:hint="eastAsia" w:ascii="宋体" w:hAnsi="宋体" w:cs="宋体"/>
          <w:sz w:val="21"/>
          <w:szCs w:val="21"/>
        </w:rPr>
        <w:t>招标文件规定的方式确定中标人；招标文件未规定的，采取随机抽取的方式确定</w:t>
      </w:r>
      <w:r>
        <w:rPr>
          <w:rFonts w:hint="eastAsia" w:ascii="宋体" w:hAnsi="宋体" w:cs="宋体"/>
          <w:sz w:val="21"/>
          <w:szCs w:val="21"/>
          <w:shd w:val="clear" w:color="auto" w:fill="FFFFFF"/>
        </w:rPr>
        <w:t>。</w:t>
      </w:r>
    </w:p>
    <w:p w14:paraId="308D1D3D">
      <w:pPr>
        <w:autoSpaceDE w:val="0"/>
        <w:autoSpaceDN w:val="0"/>
        <w:spacing w:line="360" w:lineRule="auto"/>
        <w:ind w:firstLine="420" w:firstLineChars="200"/>
        <w:rPr>
          <w:rFonts w:ascii="宋体" w:hAnsi="宋体" w:cs="宋体"/>
          <w:sz w:val="21"/>
          <w:szCs w:val="21"/>
        </w:rPr>
      </w:pPr>
      <w:r>
        <w:rPr>
          <w:rFonts w:hint="eastAsia" w:ascii="宋体" w:hAnsi="宋体" w:cs="宋体"/>
          <w:sz w:val="21"/>
          <w:szCs w:val="21"/>
        </w:rPr>
        <w:t>21.2 采购人在收到评标报告5个工作日内未按评标报告推荐的中标候选人顺序确定中标人，又不能说明合法理由的，视同按评标报告推荐的顺序确定排名第一的中标候选人为中标人。</w:t>
      </w:r>
    </w:p>
    <w:p w14:paraId="27170B10">
      <w:pPr>
        <w:spacing w:line="360" w:lineRule="auto"/>
        <w:outlineLvl w:val="2"/>
        <w:rPr>
          <w:rFonts w:ascii="宋体" w:hAnsi="宋体" w:cs="宋体"/>
          <w:b/>
          <w:bCs/>
          <w:sz w:val="21"/>
          <w:szCs w:val="21"/>
          <w:lang w:val="zh-CN"/>
        </w:rPr>
      </w:pPr>
      <w:bookmarkStart w:id="732" w:name="_Toc2982"/>
      <w:bookmarkStart w:id="733" w:name="_Toc23380"/>
      <w:bookmarkStart w:id="734" w:name="_Toc17933"/>
      <w:bookmarkStart w:id="735" w:name="_Toc8936"/>
      <w:bookmarkStart w:id="736" w:name="_Toc19086_WPSOffice_Level3"/>
      <w:bookmarkStart w:id="737" w:name="_Toc28092"/>
      <w:bookmarkStart w:id="738" w:name="_Toc511"/>
      <w:bookmarkStart w:id="739" w:name="_Toc12412"/>
      <w:bookmarkStart w:id="740" w:name="_Toc29192"/>
      <w:bookmarkStart w:id="741" w:name="_Toc19319"/>
      <w:bookmarkStart w:id="742" w:name="_Toc6140"/>
      <w:bookmarkStart w:id="743" w:name="_Toc17968"/>
      <w:bookmarkStart w:id="744" w:name="_Toc5141"/>
      <w:bookmarkStart w:id="745" w:name="_Toc18933"/>
      <w:bookmarkStart w:id="746" w:name="_Toc11856"/>
      <w:bookmarkStart w:id="747" w:name="_Toc637"/>
      <w:bookmarkStart w:id="748" w:name="_Toc19493"/>
      <w:bookmarkStart w:id="749" w:name="_Toc13102"/>
      <w:bookmarkStart w:id="750" w:name="_Toc6400"/>
      <w:bookmarkStart w:id="751" w:name="_Toc569"/>
      <w:bookmarkStart w:id="752" w:name="_Toc12902"/>
      <w:r>
        <w:rPr>
          <w:rFonts w:hint="eastAsia" w:ascii="宋体" w:hAnsi="宋体" w:cs="宋体"/>
          <w:b/>
          <w:bCs/>
          <w:sz w:val="21"/>
          <w:szCs w:val="21"/>
          <w:lang w:val="zh-CN"/>
        </w:rPr>
        <w:t>22、中标通知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535A6EF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22.1 采购人或者采购代理机构应当自中标人确定后，在公告发布媒体上公告中标结果。</w:t>
      </w:r>
    </w:p>
    <w:p w14:paraId="758EE3C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22.2 中标结果公告内容应当包括采购人及其委托的采购代理机构的名称、地址、联系方式，项目名称和项目编号，中标人名称、地址和中标金额，中标公告期限以及评审专家名单。</w:t>
      </w:r>
    </w:p>
    <w:p w14:paraId="381B0707">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22.3 中标公告期限为1个工作日。</w:t>
      </w:r>
    </w:p>
    <w:p w14:paraId="194C00C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22.4 在公告中标结果后，</w:t>
      </w:r>
      <w:r>
        <w:rPr>
          <w:rFonts w:hint="eastAsia" w:ascii="宋体" w:hAnsi="宋体" w:cs="宋体"/>
          <w:sz w:val="21"/>
          <w:szCs w:val="21"/>
          <w:shd w:val="clear" w:color="auto" w:fill="FFFFFF"/>
        </w:rPr>
        <w:t>采购人或者采购代理机构</w:t>
      </w:r>
      <w:r>
        <w:rPr>
          <w:rFonts w:hint="eastAsia" w:ascii="宋体" w:hAnsi="宋体" w:cs="宋体"/>
          <w:kern w:val="0"/>
          <w:sz w:val="21"/>
          <w:szCs w:val="21"/>
        </w:rPr>
        <w:t>应当向中标人发出中标通知书。</w:t>
      </w:r>
    </w:p>
    <w:p w14:paraId="075F45C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22.5 中标通知书发出后，采购人不得违法改变中标结果，中标人无正当理由不得放弃中标。</w:t>
      </w:r>
    </w:p>
    <w:p w14:paraId="75628FA8">
      <w:pPr>
        <w:pStyle w:val="4"/>
        <w:ind w:firstLine="422"/>
        <w:jc w:val="center"/>
        <w:rPr>
          <w:rFonts w:ascii="宋体" w:hAnsi="宋体" w:cs="宋体"/>
          <w:sz w:val="21"/>
          <w:szCs w:val="21"/>
          <w:lang w:val="zh-CN"/>
        </w:rPr>
      </w:pPr>
      <w:bookmarkStart w:id="753" w:name="_Toc31230_WPSOffice_Level2"/>
      <w:bookmarkStart w:id="754" w:name="_Toc21910"/>
      <w:bookmarkStart w:id="755" w:name="_Toc6738"/>
      <w:bookmarkStart w:id="756" w:name="_Toc19794"/>
      <w:bookmarkStart w:id="757" w:name="_Toc14332"/>
      <w:bookmarkStart w:id="758" w:name="_Toc30069"/>
      <w:bookmarkStart w:id="759" w:name="_Toc23612"/>
      <w:bookmarkStart w:id="760" w:name="_Toc30083"/>
      <w:bookmarkStart w:id="761" w:name="_Toc22507"/>
      <w:bookmarkStart w:id="762" w:name="_Toc32618_WPSOffice_Level2"/>
      <w:bookmarkStart w:id="763" w:name="_Toc26094"/>
      <w:bookmarkStart w:id="764" w:name="_Toc815"/>
      <w:bookmarkStart w:id="765" w:name="_Toc18783"/>
      <w:bookmarkStart w:id="766" w:name="_Toc1968"/>
      <w:bookmarkStart w:id="767" w:name="_Toc17425"/>
      <w:bookmarkStart w:id="768" w:name="_Toc24961"/>
      <w:bookmarkStart w:id="769" w:name="_Toc3098"/>
      <w:bookmarkStart w:id="770" w:name="_Toc6909"/>
      <w:bookmarkStart w:id="771" w:name="_Toc32532"/>
      <w:bookmarkStart w:id="772" w:name="_Toc1512"/>
      <w:bookmarkStart w:id="773" w:name="_Toc16862"/>
      <w:bookmarkStart w:id="774" w:name="_Toc2785"/>
      <w:bookmarkStart w:id="775" w:name="_Toc4637"/>
      <w:bookmarkStart w:id="776" w:name="_Toc15470"/>
      <w:r>
        <w:rPr>
          <w:rFonts w:hint="eastAsia" w:ascii="宋体" w:hAnsi="宋体" w:cs="宋体"/>
          <w:sz w:val="21"/>
          <w:szCs w:val="21"/>
          <w:lang w:val="zh-CN"/>
        </w:rPr>
        <w:t>九、授予合同</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3795CA24">
      <w:pPr>
        <w:spacing w:line="360" w:lineRule="auto"/>
        <w:outlineLvl w:val="2"/>
        <w:rPr>
          <w:rFonts w:ascii="宋体" w:hAnsi="宋体" w:cs="宋体"/>
          <w:b/>
          <w:bCs/>
          <w:sz w:val="21"/>
          <w:szCs w:val="21"/>
          <w:lang w:val="zh-CN"/>
        </w:rPr>
      </w:pPr>
      <w:bookmarkStart w:id="777" w:name="_Toc9846"/>
      <w:bookmarkStart w:id="778" w:name="_Toc29872"/>
      <w:bookmarkStart w:id="779" w:name="_Toc16937"/>
      <w:bookmarkStart w:id="780" w:name="_Toc18682_WPSOffice_Level3"/>
      <w:bookmarkStart w:id="781" w:name="_Toc10798"/>
      <w:bookmarkStart w:id="782" w:name="_Toc18744"/>
      <w:bookmarkStart w:id="783" w:name="_Toc28316"/>
      <w:bookmarkStart w:id="784" w:name="_Toc29621"/>
      <w:bookmarkStart w:id="785" w:name="_Toc18304"/>
      <w:bookmarkStart w:id="786" w:name="_Toc28640"/>
      <w:bookmarkStart w:id="787" w:name="_Toc22301"/>
      <w:bookmarkStart w:id="788" w:name="_Toc25379"/>
      <w:bookmarkStart w:id="789" w:name="_Toc21476"/>
      <w:bookmarkStart w:id="790" w:name="_Toc27223"/>
      <w:bookmarkStart w:id="791" w:name="_Toc22740"/>
      <w:bookmarkStart w:id="792" w:name="_Toc19503"/>
      <w:bookmarkStart w:id="793" w:name="_Toc26767"/>
      <w:bookmarkStart w:id="794" w:name="_Toc26146"/>
      <w:bookmarkStart w:id="795" w:name="_Toc3282"/>
      <w:bookmarkStart w:id="796" w:name="_Toc7334"/>
      <w:bookmarkStart w:id="797" w:name="_Toc32598"/>
      <w:r>
        <w:rPr>
          <w:rFonts w:hint="eastAsia" w:ascii="宋体" w:hAnsi="宋体" w:cs="宋体"/>
          <w:b/>
          <w:bCs/>
          <w:sz w:val="21"/>
          <w:szCs w:val="21"/>
          <w:lang w:val="zh-CN"/>
        </w:rPr>
        <w:t>23、签订合同</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6A9899E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.1</w:t>
      </w:r>
      <w:r>
        <w:rPr>
          <w:rFonts w:hint="eastAsia" w:ascii="宋体" w:hAnsi="宋体" w:cs="宋体"/>
          <w:kern w:val="0"/>
          <w:sz w:val="21"/>
          <w:szCs w:val="21"/>
        </w:rPr>
        <w:t xml:space="preserve"> </w:t>
      </w:r>
      <w:r>
        <w:rPr>
          <w:rFonts w:hint="eastAsia" w:ascii="宋体" w:hAnsi="宋体" w:eastAsia="宋体" w:cs="宋体"/>
          <w:color w:val="auto"/>
          <w:kern w:val="0"/>
          <w:sz w:val="21"/>
          <w:szCs w:val="21"/>
        </w:rPr>
        <w:t>采购人应当自中标通知书发出之日起</w:t>
      </w:r>
      <w:r>
        <w:rPr>
          <w:rFonts w:hint="eastAsia" w:ascii="宋体" w:hAnsi="宋体" w:eastAsia="宋体" w:cs="宋体"/>
          <w:color w:val="auto"/>
          <w:kern w:val="0"/>
          <w:sz w:val="21"/>
          <w:szCs w:val="21"/>
          <w:lang w:val="en-US" w:eastAsia="zh-CN"/>
        </w:rPr>
        <w:t>30</w:t>
      </w:r>
      <w:r>
        <w:rPr>
          <w:rFonts w:hint="eastAsia" w:ascii="宋体" w:hAnsi="宋体" w:eastAsia="宋体" w:cs="宋体"/>
          <w:color w:val="auto"/>
          <w:kern w:val="0"/>
          <w:sz w:val="21"/>
          <w:szCs w:val="21"/>
        </w:rPr>
        <w:t>日内（</w:t>
      </w:r>
      <w:r>
        <w:rPr>
          <w:rFonts w:hint="eastAsia" w:ascii="宋体" w:hAnsi="宋体" w:eastAsia="宋体" w:cs="宋体"/>
          <w:b/>
          <w:color w:val="auto"/>
          <w:kern w:val="0"/>
          <w:sz w:val="21"/>
          <w:szCs w:val="21"/>
        </w:rPr>
        <w:t>如有最新文件依据最新文件规定</w:t>
      </w:r>
      <w:r>
        <w:rPr>
          <w:rFonts w:hint="eastAsia" w:ascii="宋体" w:hAnsi="宋体" w:eastAsia="宋体" w:cs="宋体"/>
          <w:color w:val="auto"/>
          <w:kern w:val="0"/>
          <w:sz w:val="21"/>
          <w:szCs w:val="21"/>
        </w:rPr>
        <w:t>）</w:t>
      </w:r>
      <w:r>
        <w:rPr>
          <w:rFonts w:hint="eastAsia" w:ascii="宋体" w:hAnsi="宋体" w:cs="宋体"/>
          <w:color w:val="000000" w:themeColor="text1"/>
          <w:kern w:val="0"/>
          <w:sz w:val="21"/>
          <w:szCs w:val="21"/>
          <w14:textFill>
            <w14:solidFill>
              <w14:schemeClr w14:val="tx1"/>
            </w14:solidFill>
          </w14:textFill>
        </w:rPr>
        <w:t>，按照招标文件和中标人投标文件的规定，与中标人签订书面合同。所签订的合同不得对招标文件确定</w:t>
      </w:r>
      <w:r>
        <w:rPr>
          <w:rFonts w:hint="eastAsia" w:ascii="宋体" w:hAnsi="宋体" w:cs="宋体"/>
          <w:kern w:val="0"/>
          <w:sz w:val="21"/>
          <w:szCs w:val="21"/>
        </w:rPr>
        <w:t>的事项和中标人投标文件作实质性修改。</w:t>
      </w:r>
    </w:p>
    <w:p w14:paraId="0C239E4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采购人不得向中标人提出任何不合理的要求作为签订合同的条件。</w:t>
      </w:r>
    </w:p>
    <w:p w14:paraId="42B18F05">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w:t>
      </w:r>
      <w:r>
        <w:rPr>
          <w:rFonts w:hint="eastAsia" w:ascii="宋体" w:hAnsi="宋体" w:cs="宋体"/>
          <w:kern w:val="0"/>
          <w:sz w:val="21"/>
          <w:szCs w:val="21"/>
        </w:rPr>
        <w:t>2 中标人拒绝与采购人签订合同的</w:t>
      </w:r>
      <w:r>
        <w:rPr>
          <w:rFonts w:hint="eastAsia" w:ascii="宋体" w:hAnsi="宋体" w:cs="宋体"/>
          <w:kern w:val="0"/>
          <w:sz w:val="21"/>
          <w:szCs w:val="21"/>
          <w:lang w:val="zh-CN"/>
        </w:rPr>
        <w:t>，采购人可以按照评标报告推荐的中标候选人名单排序，确定下一候选人为中标人，以此类推，也可重新开展政府采购活动。</w:t>
      </w:r>
    </w:p>
    <w:p w14:paraId="3E25B78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w:t>
      </w:r>
      <w:r>
        <w:rPr>
          <w:rFonts w:hint="eastAsia" w:ascii="宋体" w:hAnsi="宋体" w:cs="宋体"/>
          <w:kern w:val="0"/>
          <w:sz w:val="21"/>
          <w:szCs w:val="21"/>
        </w:rPr>
        <w:t xml:space="preserve">3 </w:t>
      </w:r>
      <w:r>
        <w:rPr>
          <w:rFonts w:hint="eastAsia" w:ascii="宋体" w:hAnsi="宋体" w:cs="宋体"/>
          <w:kern w:val="0"/>
          <w:sz w:val="21"/>
          <w:szCs w:val="21"/>
          <w:lang w:val="zh-CN"/>
        </w:rPr>
        <w:t>招标文件、中标人的投标文件、《中标通知书》及其澄清、说明文件、承诺等，均为签订采购合同的依据，作为采购合同的组成部分。</w:t>
      </w:r>
    </w:p>
    <w:p w14:paraId="18F92CC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23.4 采购人与中标人应当根据合同的约定依法履行合同义务。政府采购合同的履行、违约责任和解决争议的方法等适用《中华人民共和国民法典（合同编）》。</w:t>
      </w:r>
    </w:p>
    <w:p w14:paraId="1DFC6066">
      <w:pPr>
        <w:autoSpaceDE w:val="0"/>
        <w:autoSpaceDN w:val="0"/>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23.5 采购人应当及时对采购项目进行验收。</w:t>
      </w:r>
    </w:p>
    <w:p w14:paraId="681A2A2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23.6 采购人应当加强对中标人的履约管理，并按照采购合同约定，及时向中标人支付采购资金。对于中标人违反采购合同约定的行为，采购人应当及时处理，依法追究其违约责任。</w:t>
      </w:r>
    </w:p>
    <w:p w14:paraId="2AB4220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23.7 采购人、采购代理机构应当建立真实完整的招标采购档案，妥善保存每项采购活动的招标文件。</w:t>
      </w:r>
    </w:p>
    <w:p w14:paraId="1ED58D73">
      <w:pPr>
        <w:pStyle w:val="4"/>
        <w:ind w:firstLine="422"/>
        <w:jc w:val="center"/>
        <w:rPr>
          <w:rFonts w:ascii="宋体" w:hAnsi="宋体" w:cs="宋体"/>
          <w:sz w:val="21"/>
          <w:szCs w:val="21"/>
          <w:lang w:val="zh-CN"/>
        </w:rPr>
      </w:pPr>
      <w:bookmarkStart w:id="798" w:name="_Toc777"/>
      <w:bookmarkStart w:id="799" w:name="_Toc2027"/>
      <w:bookmarkStart w:id="800" w:name="_Toc22510"/>
      <w:bookmarkStart w:id="801" w:name="_Toc9633"/>
      <w:bookmarkStart w:id="802" w:name="_Toc5516"/>
      <w:bookmarkStart w:id="803" w:name="_Toc14621"/>
      <w:bookmarkStart w:id="804" w:name="_Toc6772"/>
      <w:bookmarkStart w:id="805" w:name="_Toc17170"/>
      <w:bookmarkStart w:id="806" w:name="_Toc28323"/>
      <w:bookmarkStart w:id="807" w:name="_Toc403"/>
      <w:bookmarkStart w:id="808" w:name="_Toc21273"/>
      <w:bookmarkStart w:id="809" w:name="_Toc3504"/>
      <w:bookmarkStart w:id="810" w:name="_Toc4717"/>
      <w:bookmarkStart w:id="811" w:name="_Toc12910"/>
      <w:bookmarkStart w:id="812" w:name="_Toc8933_WPSOffice_Level2"/>
      <w:bookmarkStart w:id="813" w:name="_Toc2984"/>
      <w:bookmarkStart w:id="814" w:name="_Toc22980"/>
      <w:bookmarkStart w:id="815" w:name="_Toc12348"/>
      <w:bookmarkStart w:id="816" w:name="_Toc10796"/>
      <w:bookmarkStart w:id="817" w:name="_Toc11220"/>
      <w:bookmarkStart w:id="818" w:name="_Toc6923"/>
      <w:bookmarkStart w:id="819" w:name="_Toc8124"/>
      <w:bookmarkStart w:id="820" w:name="_Toc19207"/>
      <w:bookmarkStart w:id="821" w:name="_Toc1376_WPSOffice_Level2"/>
      <w:r>
        <w:rPr>
          <w:rFonts w:hint="eastAsia" w:ascii="宋体" w:hAnsi="宋体" w:cs="宋体"/>
          <w:sz w:val="21"/>
          <w:szCs w:val="21"/>
          <w:lang w:val="zh-CN"/>
        </w:rPr>
        <w:t>十、招标代理费</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674C9C17">
      <w:pPr>
        <w:autoSpaceDE w:val="0"/>
        <w:autoSpaceDN w:val="0"/>
        <w:spacing w:line="360" w:lineRule="auto"/>
        <w:ind w:firstLine="420" w:firstLineChars="200"/>
        <w:jc w:val="left"/>
        <w:rPr>
          <w:rFonts w:ascii="宋体" w:hAnsi="宋体" w:cs="宋体"/>
          <w:kern w:val="0"/>
          <w:sz w:val="21"/>
          <w:szCs w:val="21"/>
          <w:lang w:val="zh-CN"/>
        </w:rPr>
      </w:pPr>
      <w:r>
        <w:rPr>
          <w:rFonts w:hint="eastAsia" w:ascii="宋体" w:hAnsi="宋体" w:cs="宋体"/>
          <w:kern w:val="0"/>
          <w:sz w:val="21"/>
          <w:szCs w:val="21"/>
        </w:rPr>
        <w:t>1、</w:t>
      </w:r>
      <w:r>
        <w:rPr>
          <w:rFonts w:hint="eastAsia" w:ascii="宋体" w:hAnsi="宋体" w:cs="宋体"/>
          <w:kern w:val="0"/>
          <w:sz w:val="21"/>
          <w:szCs w:val="21"/>
          <w:lang w:val="zh-CN"/>
        </w:rPr>
        <w:t>收取对象：中标人。</w:t>
      </w:r>
    </w:p>
    <w:p w14:paraId="368CBB31">
      <w:pPr>
        <w:autoSpaceDE w:val="0"/>
        <w:autoSpaceDN w:val="0"/>
        <w:spacing w:line="360" w:lineRule="auto"/>
        <w:ind w:firstLine="420" w:firstLineChars="200"/>
        <w:jc w:val="left"/>
        <w:rPr>
          <w:rFonts w:ascii="宋体" w:hAnsi="宋体" w:cs="宋体"/>
          <w:kern w:val="0"/>
          <w:sz w:val="21"/>
          <w:szCs w:val="21"/>
          <w:u w:val="dashDotDotHeavy"/>
          <w:lang w:val="zh-CN"/>
        </w:rPr>
      </w:pPr>
      <w:r>
        <w:rPr>
          <w:rFonts w:hint="eastAsia" w:ascii="宋体" w:hAnsi="宋体" w:cs="宋体"/>
          <w:kern w:val="0"/>
          <w:sz w:val="21"/>
          <w:szCs w:val="21"/>
        </w:rPr>
        <w:t>2、</w:t>
      </w:r>
      <w:r>
        <w:rPr>
          <w:rFonts w:hint="eastAsia" w:ascii="宋体" w:hAnsi="宋体" w:cs="宋体"/>
          <w:kern w:val="0"/>
          <w:sz w:val="21"/>
          <w:szCs w:val="21"/>
          <w:lang w:val="zh-CN"/>
        </w:rPr>
        <w:t>收费金额：见供应商须知前附表。</w:t>
      </w:r>
    </w:p>
    <w:p w14:paraId="5B4D802B">
      <w:pPr>
        <w:pStyle w:val="4"/>
        <w:ind w:firstLine="422"/>
        <w:jc w:val="center"/>
        <w:rPr>
          <w:rFonts w:ascii="宋体" w:hAnsi="宋体" w:cs="宋体"/>
          <w:sz w:val="21"/>
          <w:szCs w:val="21"/>
          <w:lang w:val="zh-CN"/>
        </w:rPr>
      </w:pPr>
      <w:bookmarkStart w:id="822" w:name="_Toc26462"/>
      <w:bookmarkStart w:id="823" w:name="_Toc27873_WPSOffice_Level2"/>
      <w:bookmarkStart w:id="824" w:name="_Toc28631"/>
      <w:bookmarkStart w:id="825" w:name="_Toc31361"/>
      <w:bookmarkStart w:id="826" w:name="_Toc27231"/>
      <w:bookmarkStart w:id="827" w:name="_Toc32758"/>
      <w:bookmarkStart w:id="828" w:name="_Toc5639"/>
      <w:bookmarkStart w:id="829" w:name="_Toc6721"/>
      <w:bookmarkStart w:id="830" w:name="_Toc5731"/>
      <w:bookmarkStart w:id="831" w:name="_Toc10653"/>
      <w:bookmarkStart w:id="832" w:name="_Toc17505"/>
      <w:bookmarkStart w:id="833" w:name="_Toc5852"/>
      <w:bookmarkStart w:id="834" w:name="_Toc25955"/>
      <w:bookmarkStart w:id="835" w:name="_Toc11481"/>
      <w:bookmarkStart w:id="836" w:name="_Toc13882"/>
      <w:bookmarkStart w:id="837" w:name="_Toc4801"/>
      <w:bookmarkStart w:id="838" w:name="_Toc10971"/>
      <w:bookmarkStart w:id="839" w:name="_Toc4674"/>
      <w:bookmarkStart w:id="840" w:name="_Toc29784"/>
      <w:bookmarkStart w:id="841" w:name="_Toc32416"/>
      <w:bookmarkStart w:id="842" w:name="_Toc23130"/>
      <w:bookmarkStart w:id="843" w:name="_Toc9000"/>
      <w:bookmarkStart w:id="844" w:name="_Toc3274_WPSOffice_Level2"/>
      <w:bookmarkStart w:id="845" w:name="_Toc10433"/>
      <w:r>
        <w:rPr>
          <w:rFonts w:hint="eastAsia" w:ascii="宋体" w:hAnsi="宋体" w:cs="宋体"/>
          <w:sz w:val="21"/>
          <w:szCs w:val="21"/>
          <w:lang w:val="zh-CN"/>
        </w:rPr>
        <w:t>十一、其他</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 w14:paraId="1302381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w:t>
      </w:r>
      <w:r>
        <w:rPr>
          <w:rFonts w:hint="eastAsia" w:ascii="宋体" w:hAnsi="宋体" w:cs="宋体"/>
          <w:kern w:val="0"/>
          <w:sz w:val="21"/>
          <w:szCs w:val="21"/>
          <w:lang w:eastAsia="zh-CN"/>
        </w:rPr>
        <w:t>供应商</w:t>
      </w:r>
      <w:r>
        <w:rPr>
          <w:rFonts w:hint="eastAsia" w:ascii="宋体" w:hAnsi="宋体" w:cs="宋体"/>
          <w:kern w:val="0"/>
          <w:sz w:val="21"/>
          <w:szCs w:val="21"/>
        </w:rPr>
        <w:t>应当遵循公平竞争的原则，不得恶意串通，不得妨碍其他</w:t>
      </w:r>
      <w:r>
        <w:rPr>
          <w:rFonts w:hint="eastAsia" w:ascii="宋体" w:hAnsi="宋体" w:cs="宋体"/>
          <w:kern w:val="0"/>
          <w:sz w:val="21"/>
          <w:szCs w:val="21"/>
          <w:lang w:eastAsia="zh-CN"/>
        </w:rPr>
        <w:t>供应商</w:t>
      </w:r>
      <w:r>
        <w:rPr>
          <w:rFonts w:hint="eastAsia" w:ascii="宋体" w:hAnsi="宋体" w:cs="宋体"/>
          <w:kern w:val="0"/>
          <w:sz w:val="21"/>
          <w:szCs w:val="21"/>
        </w:rPr>
        <w:t>的竞争行为，不得损害采购人或者其他</w:t>
      </w:r>
      <w:r>
        <w:rPr>
          <w:rFonts w:hint="eastAsia" w:ascii="宋体" w:hAnsi="宋体" w:cs="宋体"/>
          <w:kern w:val="0"/>
          <w:sz w:val="21"/>
          <w:szCs w:val="21"/>
          <w:lang w:eastAsia="zh-CN"/>
        </w:rPr>
        <w:t>供应商</w:t>
      </w:r>
      <w:r>
        <w:rPr>
          <w:rFonts w:hint="eastAsia" w:ascii="宋体" w:hAnsi="宋体" w:cs="宋体"/>
          <w:kern w:val="0"/>
          <w:sz w:val="21"/>
          <w:szCs w:val="21"/>
        </w:rPr>
        <w:t>的合法权益。</w:t>
      </w:r>
    </w:p>
    <w:p w14:paraId="3ECA342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在评标过程中发现</w:t>
      </w:r>
      <w:r>
        <w:rPr>
          <w:rFonts w:hint="eastAsia" w:ascii="宋体" w:hAnsi="宋体" w:cs="宋体"/>
          <w:kern w:val="0"/>
          <w:sz w:val="21"/>
          <w:szCs w:val="21"/>
          <w:lang w:eastAsia="zh-CN"/>
        </w:rPr>
        <w:t>供应商</w:t>
      </w:r>
      <w:r>
        <w:rPr>
          <w:rFonts w:hint="eastAsia" w:ascii="宋体" w:hAnsi="宋体" w:cs="宋体"/>
          <w:kern w:val="0"/>
          <w:sz w:val="21"/>
          <w:szCs w:val="21"/>
        </w:rPr>
        <w:t>有上述情形的，评标委员会应当认定其投标无效，并书面报告本级监督部门。</w:t>
      </w:r>
    </w:p>
    <w:p w14:paraId="5756F09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2、有下列情形之一的，视为</w:t>
      </w:r>
      <w:r>
        <w:rPr>
          <w:rFonts w:hint="eastAsia" w:ascii="宋体" w:hAnsi="宋体" w:cs="宋体"/>
          <w:kern w:val="0"/>
          <w:sz w:val="21"/>
          <w:szCs w:val="21"/>
          <w:lang w:eastAsia="zh-CN"/>
        </w:rPr>
        <w:t>供应商</w:t>
      </w:r>
      <w:r>
        <w:rPr>
          <w:rFonts w:hint="eastAsia" w:ascii="宋体" w:hAnsi="宋体" w:cs="宋体"/>
          <w:kern w:val="0"/>
          <w:sz w:val="21"/>
          <w:szCs w:val="21"/>
        </w:rPr>
        <w:t>串通投标，其投标无效：</w:t>
      </w:r>
    </w:p>
    <w:p w14:paraId="3ADADF5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的投标文件由同一单位或者个人编制；</w:t>
      </w:r>
    </w:p>
    <w:p w14:paraId="17E9126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（2）不同</w:t>
      </w:r>
      <w:r>
        <w:rPr>
          <w:rFonts w:hint="eastAsia" w:ascii="宋体" w:hAnsi="宋体" w:cs="宋体"/>
          <w:kern w:val="0"/>
          <w:sz w:val="21"/>
          <w:szCs w:val="21"/>
          <w:lang w:eastAsia="zh-CN"/>
        </w:rPr>
        <w:t>供应商</w:t>
      </w:r>
      <w:r>
        <w:rPr>
          <w:rFonts w:hint="eastAsia" w:ascii="宋体" w:hAnsi="宋体" w:cs="宋体"/>
          <w:kern w:val="0"/>
          <w:sz w:val="21"/>
          <w:szCs w:val="21"/>
        </w:rPr>
        <w:t>委托同一单位或者个人办理投标事宜；</w:t>
      </w:r>
    </w:p>
    <w:p w14:paraId="6A8F84C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的投标文件载明的项目管理成员或者联系人员为同一人；</w:t>
      </w:r>
    </w:p>
    <w:p w14:paraId="3E8E52C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（4）不同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的投标文件异常一致或者投标报价呈规律性差异；</w:t>
      </w:r>
    </w:p>
    <w:p w14:paraId="500BDEB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的投标文件相互混装；</w:t>
      </w:r>
    </w:p>
    <w:p w14:paraId="24DC435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（6）不同</w:t>
      </w:r>
      <w:r>
        <w:rPr>
          <w:rFonts w:hint="eastAsia" w:ascii="宋体" w:hAnsi="宋体" w:cs="宋体"/>
          <w:kern w:val="0"/>
          <w:sz w:val="21"/>
          <w:szCs w:val="21"/>
          <w:lang w:eastAsia="zh-CN"/>
        </w:rPr>
        <w:t>供应商</w:t>
      </w:r>
      <w:r>
        <w:rPr>
          <w:rFonts w:hint="eastAsia" w:ascii="宋体" w:hAnsi="宋体" w:cs="宋体"/>
          <w:kern w:val="0"/>
          <w:sz w:val="21"/>
          <w:szCs w:val="21"/>
        </w:rPr>
        <w:t>的投标保证金从同一单位或者个人的账户转出。</w:t>
      </w:r>
    </w:p>
    <w:p w14:paraId="6FE0260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3、公开招标数额标准以上的采购项目，投标截止后</w:t>
      </w:r>
      <w:r>
        <w:rPr>
          <w:rFonts w:hint="eastAsia" w:ascii="宋体" w:hAnsi="宋体" w:cs="宋体"/>
          <w:kern w:val="0"/>
          <w:sz w:val="21"/>
          <w:szCs w:val="21"/>
          <w:lang w:eastAsia="zh-CN"/>
        </w:rPr>
        <w:t>供应商</w:t>
      </w:r>
      <w:r>
        <w:rPr>
          <w:rFonts w:hint="eastAsia" w:ascii="宋体" w:hAnsi="宋体" w:cs="宋体"/>
          <w:kern w:val="0"/>
          <w:sz w:val="21"/>
          <w:szCs w:val="21"/>
        </w:rPr>
        <w:t>不足3家或者通过资格审查或符合性审查的</w:t>
      </w:r>
      <w:r>
        <w:rPr>
          <w:rFonts w:hint="eastAsia" w:ascii="宋体" w:hAnsi="宋体" w:cs="宋体"/>
          <w:kern w:val="0"/>
          <w:sz w:val="21"/>
          <w:szCs w:val="21"/>
          <w:lang w:eastAsia="zh-CN"/>
        </w:rPr>
        <w:t>供应商</w:t>
      </w:r>
      <w:r>
        <w:rPr>
          <w:rFonts w:hint="eastAsia" w:ascii="宋体" w:hAnsi="宋体" w:cs="宋体"/>
          <w:kern w:val="0"/>
          <w:sz w:val="21"/>
          <w:szCs w:val="21"/>
        </w:rPr>
        <w:t>不足3家的，除采购任务取消情形外，按照以下方式处理：</w:t>
      </w:r>
    </w:p>
    <w:p w14:paraId="619B42C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（1）招标文件存在不合理条款或者招标程序不符合规定的，采购人、采购代理机构改正后依法重新招标；</w:t>
      </w:r>
    </w:p>
    <w:p w14:paraId="6893994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（2）招标文件没有不合理条款、招标程序符合规定，需要采用其他采购方式采购的，采购人应当依法报监督部门批准。</w:t>
      </w:r>
    </w:p>
    <w:p w14:paraId="0C1FC90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sz w:val="21"/>
          <w:szCs w:val="21"/>
        </w:rPr>
        <w:t>4、</w:t>
      </w:r>
      <w:r>
        <w:rPr>
          <w:rFonts w:hint="eastAsia" w:ascii="宋体" w:hAnsi="宋体" w:cs="宋体"/>
          <w:kern w:val="0"/>
          <w:sz w:val="21"/>
          <w:szCs w:val="21"/>
          <w:lang w:val="zh-CN"/>
        </w:rPr>
        <w:t>在招标采购中，出现下列情形之一的，应予废标：</w:t>
      </w:r>
    </w:p>
    <w:p w14:paraId="0A8B5B0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（1）符合专业条件的供应商或者对招标文件作实质性响应的供应商不足三家的。</w:t>
      </w:r>
    </w:p>
    <w:p w14:paraId="7C54D01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（2）出现影响采购公正的违法、违规行为的。</w:t>
      </w:r>
    </w:p>
    <w:p w14:paraId="6F507E8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（3）供应商的报价均超出采购预算，采购人不能支付的。</w:t>
      </w:r>
    </w:p>
    <w:p w14:paraId="5D86735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（4）因重大变故，采购任务取消的。</w:t>
      </w:r>
    </w:p>
    <w:p w14:paraId="2A785D1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废标后，由采购代理机构发布废标公告。</w:t>
      </w:r>
    </w:p>
    <w:p w14:paraId="40C4C5D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5、验收</w:t>
      </w:r>
    </w:p>
    <w:p w14:paraId="1C413B1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5.1、货物到达现场后，中标人应在使用单位人员在场情况下当面开箱，共同清点、检查外观，作出开箱记录，双方签字确认。</w:t>
      </w:r>
    </w:p>
    <w:p w14:paraId="0704266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5.2、中标人应保证货物到达采购人所在地完好无损，如有缺漏、损坏，由</w:t>
      </w:r>
      <w:r>
        <w:rPr>
          <w:rFonts w:hint="eastAsia" w:ascii="宋体" w:hAnsi="宋体" w:cs="宋体"/>
          <w:kern w:val="0"/>
          <w:sz w:val="21"/>
          <w:szCs w:val="21"/>
          <w:lang w:eastAsia="zh-CN"/>
        </w:rPr>
        <w:t>供应商</w:t>
      </w:r>
      <w:r>
        <w:rPr>
          <w:rFonts w:hint="eastAsia" w:ascii="宋体" w:hAnsi="宋体" w:cs="宋体"/>
          <w:kern w:val="0"/>
          <w:sz w:val="21"/>
          <w:szCs w:val="21"/>
        </w:rPr>
        <w:t>负责调换、补齐或赔偿。</w:t>
      </w:r>
    </w:p>
    <w:p w14:paraId="7B39C6EF">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5.3、中标人应提供完备的技术资料、装箱单和合格证等，并派遣专业技术人员进行现场安装调试。验收合格条件如下：</w:t>
      </w:r>
    </w:p>
    <w:p w14:paraId="55369EE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（1）设备技术参数与采购合同一致，性能指标达到规定的标准。</w:t>
      </w:r>
    </w:p>
    <w:p w14:paraId="14E40633">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（2）货物技术资料、装箱单、合格证等资料齐全。</w:t>
      </w:r>
    </w:p>
    <w:p w14:paraId="6FAD020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（3）在系统试运行期间所出现的问题得到解决，并运行正常。</w:t>
      </w:r>
    </w:p>
    <w:p w14:paraId="4A347048">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（4）在规定时间内完成交货并验收，并经采购人确认。</w:t>
      </w:r>
    </w:p>
    <w:p w14:paraId="41527433">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5.4、产品在安装调试并试运行符合要求后，才作为最终验收。</w:t>
      </w:r>
    </w:p>
    <w:p w14:paraId="2787B624">
      <w:pPr>
        <w:autoSpaceDE w:val="0"/>
        <w:autoSpaceDN w:val="0"/>
        <w:spacing w:line="360" w:lineRule="auto"/>
        <w:ind w:firstLine="420" w:firstLineChars="200"/>
        <w:rPr>
          <w:rFonts w:ascii="宋体" w:hAnsi="宋体" w:cs="宋体"/>
          <w:color w:val="auto"/>
          <w:kern w:val="0"/>
          <w:sz w:val="21"/>
          <w:szCs w:val="21"/>
        </w:rPr>
      </w:pPr>
      <w:r>
        <w:rPr>
          <w:rFonts w:hint="eastAsia" w:ascii="宋体" w:hAnsi="宋体" w:cs="宋体"/>
          <w:color w:val="auto"/>
          <w:kern w:val="0"/>
          <w:sz w:val="21"/>
          <w:szCs w:val="21"/>
        </w:rPr>
        <w:t>5.5、中标人提供的货物未达到招标文件规定要求，且对采购人造成损失的，由中标人承担一切责任，并赔偿所造成的损失。</w:t>
      </w:r>
    </w:p>
    <w:p w14:paraId="6DA42CE4">
      <w:pPr>
        <w:autoSpaceDE w:val="0"/>
        <w:autoSpaceDN w:val="0"/>
        <w:spacing w:line="360" w:lineRule="auto"/>
        <w:ind w:firstLine="420" w:firstLineChars="200"/>
        <w:rPr>
          <w:rFonts w:ascii="宋体" w:hAnsi="宋体" w:cs="宋体"/>
          <w:color w:val="auto"/>
          <w:kern w:val="0"/>
          <w:sz w:val="21"/>
          <w:szCs w:val="21"/>
        </w:rPr>
      </w:pPr>
      <w:r>
        <w:rPr>
          <w:rFonts w:hint="eastAsia" w:ascii="宋体" w:hAnsi="宋体" w:cs="宋体"/>
          <w:color w:val="auto"/>
          <w:kern w:val="0"/>
          <w:sz w:val="21"/>
          <w:szCs w:val="21"/>
        </w:rPr>
        <w:t>5.6、大型或者复杂的政府采购项目，采购人应当邀请国家认可的质量检测机构参加验收工作。</w:t>
      </w:r>
      <w:r>
        <w:rPr>
          <w:rFonts w:hint="default" w:ascii="宋体" w:hAnsi="宋体" w:eastAsia="宋体" w:cs="宋体"/>
          <w:color w:val="auto"/>
          <w:kern w:val="2"/>
          <w:sz w:val="21"/>
          <w:szCs w:val="21"/>
          <w:lang w:val="en-US" w:eastAsia="zh-CN" w:bidi="ar-SA"/>
        </w:rPr>
        <w:t>为保证本项目供货产品质量，中标人将货物送到采购人指定的交货地点（项目学校）完成全部项目安装调试后，有权委托具备相应资质的第三方专业机构（河南省教育资源保障中心）对本项目进行验收。</w:t>
      </w:r>
    </w:p>
    <w:p w14:paraId="3D78ED81">
      <w:pPr>
        <w:autoSpaceDE w:val="0"/>
        <w:autoSpaceDN w:val="0"/>
        <w:spacing w:line="360" w:lineRule="auto"/>
        <w:ind w:firstLine="420" w:firstLineChars="200"/>
        <w:rPr>
          <w:rFonts w:ascii="宋体" w:hAnsi="宋体" w:cs="宋体"/>
          <w:color w:val="auto"/>
          <w:kern w:val="0"/>
          <w:sz w:val="21"/>
          <w:szCs w:val="21"/>
        </w:rPr>
      </w:pPr>
      <w:r>
        <w:rPr>
          <w:rFonts w:hint="eastAsia" w:ascii="宋体" w:hAnsi="宋体" w:cs="宋体"/>
          <w:color w:val="auto"/>
          <w:kern w:val="0"/>
          <w:sz w:val="21"/>
          <w:szCs w:val="21"/>
        </w:rPr>
        <w:t>5.7、采购人需要制造商对中标人交付的产品（包括质量、技术参数等）进行确认的，制造商应予以配合，并出具书面意见。</w:t>
      </w:r>
    </w:p>
    <w:p w14:paraId="6FD2349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5.8、产品包装材料归采购人所有。</w:t>
      </w:r>
    </w:p>
    <w:p w14:paraId="02B4D70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6、其他未尽事宜，按照《中华人民共和国政府采购法》、《中华人民共和国政府采购法实施条例》、《中华人民共和国民法典（合同编）》等法律法规的有关条款执行。</w:t>
      </w:r>
    </w:p>
    <w:p w14:paraId="6F20080A">
      <w:pPr>
        <w:pStyle w:val="3"/>
        <w:ind w:firstLine="0" w:firstLineChars="0"/>
        <w:jc w:val="center"/>
        <w:rPr>
          <w:rFonts w:ascii="宋体" w:hAnsi="宋体" w:cs="宋体"/>
          <w:bCs/>
          <w:color w:val="auto"/>
          <w:sz w:val="36"/>
          <w:szCs w:val="36"/>
          <w:lang w:val="zh-CN"/>
        </w:rPr>
      </w:pPr>
      <w:r>
        <w:rPr>
          <w:rFonts w:hint="eastAsia" w:ascii="宋体" w:hAnsi="宋体" w:cs="宋体"/>
          <w:color w:val="auto"/>
          <w:szCs w:val="36"/>
          <w:lang w:val="zh-CN"/>
        </w:rPr>
        <w:br w:type="page"/>
      </w:r>
      <w:bookmarkStart w:id="846" w:name="_Toc2887"/>
      <w:bookmarkStart w:id="847" w:name="_Toc19048"/>
      <w:bookmarkStart w:id="848" w:name="_Toc118"/>
      <w:bookmarkStart w:id="849" w:name="_Toc6822"/>
      <w:bookmarkStart w:id="850" w:name="_Toc7529"/>
      <w:bookmarkStart w:id="851" w:name="_Toc13798"/>
      <w:bookmarkStart w:id="852" w:name="_Toc17366"/>
      <w:bookmarkStart w:id="853" w:name="_Toc21152"/>
      <w:bookmarkStart w:id="854" w:name="_Toc4628_WPSOffice_Level1"/>
      <w:bookmarkStart w:id="855" w:name="_Toc11531"/>
      <w:bookmarkStart w:id="856" w:name="_Toc23619"/>
      <w:bookmarkStart w:id="857" w:name="_Toc26962"/>
      <w:bookmarkStart w:id="858" w:name="_Toc4557"/>
      <w:bookmarkStart w:id="859" w:name="_Toc29924"/>
      <w:bookmarkStart w:id="860" w:name="_Toc1539"/>
      <w:bookmarkStart w:id="861" w:name="_Toc13941"/>
      <w:bookmarkStart w:id="862" w:name="_Toc5184"/>
      <w:bookmarkStart w:id="863" w:name="_Toc6687"/>
      <w:bookmarkStart w:id="864" w:name="_Toc24573"/>
      <w:bookmarkStart w:id="865" w:name="_Toc581"/>
      <w:bookmarkStart w:id="866" w:name="_Toc4410"/>
      <w:bookmarkStart w:id="867" w:name="_Toc7284_WPSOffice_Level1"/>
      <w:bookmarkStart w:id="868" w:name="_Toc10581"/>
      <w:bookmarkStart w:id="869" w:name="_Toc11801"/>
      <w:r>
        <w:rPr>
          <w:rFonts w:hint="eastAsia" w:ascii="宋体" w:hAnsi="宋体" w:cs="宋体"/>
          <w:bCs/>
          <w:color w:val="auto"/>
          <w:sz w:val="36"/>
          <w:szCs w:val="36"/>
          <w:lang w:val="zh-CN"/>
        </w:rPr>
        <w:t xml:space="preserve">第三部分  </w:t>
      </w:r>
      <w:bookmarkEnd w:id="846"/>
      <w:r>
        <w:rPr>
          <w:rFonts w:hint="eastAsia" w:ascii="宋体" w:hAnsi="宋体" w:cs="宋体"/>
          <w:bCs/>
          <w:color w:val="auto"/>
          <w:sz w:val="36"/>
          <w:szCs w:val="36"/>
          <w:lang w:val="zh-CN"/>
        </w:rPr>
        <w:t>合同条款</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 w14:paraId="20C583E1">
      <w:pPr>
        <w:autoSpaceDE w:val="0"/>
        <w:autoSpaceDN w:val="0"/>
        <w:adjustRightInd w:val="0"/>
        <w:spacing w:line="360" w:lineRule="auto"/>
        <w:jc w:val="left"/>
        <w:rPr>
          <w:rFonts w:ascii="宋体" w:hAnsi="宋体" w:cs="宋体"/>
          <w:sz w:val="21"/>
          <w:szCs w:val="21"/>
        </w:rPr>
      </w:pPr>
    </w:p>
    <w:p w14:paraId="7629E228">
      <w:pPr>
        <w:autoSpaceDE w:val="0"/>
        <w:autoSpaceDN w:val="0"/>
        <w:adjustRightInd w:val="0"/>
        <w:spacing w:line="360" w:lineRule="auto"/>
        <w:jc w:val="left"/>
        <w:rPr>
          <w:rFonts w:ascii="宋体" w:hAnsi="宋体" w:cs="宋体"/>
          <w:sz w:val="21"/>
          <w:szCs w:val="21"/>
        </w:rPr>
      </w:pPr>
    </w:p>
    <w:p w14:paraId="59D56F60">
      <w:pPr>
        <w:spacing w:line="360" w:lineRule="auto"/>
        <w:jc w:val="center"/>
        <w:rPr>
          <w:rFonts w:hint="eastAsia" w:asciiTheme="minorEastAsia" w:hAnsiTheme="minorEastAsia" w:eastAsiaTheme="minorEastAsia" w:cstheme="minorEastAsia"/>
          <w:sz w:val="21"/>
          <w:szCs w:val="21"/>
        </w:rPr>
      </w:pPr>
      <w:bookmarkStart w:id="870" w:name="_Toc13331_WPSOffice_Level2"/>
      <w:bookmarkStart w:id="871" w:name="_Toc27858_WPSOffice_Level2"/>
      <w:bookmarkStart w:id="872" w:name="_Toc17485_WPSOffice_Level2"/>
      <w:bookmarkStart w:id="873" w:name="_Toc30471"/>
      <w:bookmarkStart w:id="874" w:name="_Toc4956"/>
      <w:bookmarkStart w:id="875" w:name="_Toc31094"/>
      <w:r>
        <w:rPr>
          <w:rFonts w:hint="eastAsia" w:asciiTheme="minorEastAsia" w:hAnsiTheme="minorEastAsia" w:eastAsiaTheme="minorEastAsia" w:cstheme="minorEastAsia"/>
          <w:sz w:val="21"/>
          <w:szCs w:val="21"/>
        </w:rPr>
        <w:t>（合同格式供参考，详细条款由采购人、中标人签订合同时约定。）</w:t>
      </w:r>
      <w:bookmarkEnd w:id="870"/>
      <w:bookmarkEnd w:id="871"/>
      <w:bookmarkEnd w:id="872"/>
      <w:bookmarkEnd w:id="873"/>
      <w:bookmarkEnd w:id="874"/>
      <w:bookmarkEnd w:id="875"/>
    </w:p>
    <w:p w14:paraId="57E6A3DA">
      <w:pPr>
        <w:pStyle w:val="26"/>
        <w:spacing w:before="0" w:after="0" w:line="360" w:lineRule="auto"/>
        <w:outlineLvl w:val="9"/>
        <w:rPr>
          <w:rFonts w:hint="eastAsia" w:asciiTheme="minorEastAsia" w:hAnsiTheme="minorEastAsia" w:eastAsiaTheme="minorEastAsia" w:cstheme="minorEastAsia"/>
          <w:b w:val="0"/>
          <w:sz w:val="21"/>
          <w:szCs w:val="21"/>
        </w:rPr>
      </w:pPr>
    </w:p>
    <w:p w14:paraId="122D58A4">
      <w:pPr>
        <w:autoSpaceDE w:val="0"/>
        <w:autoSpaceDN w:val="0"/>
        <w:adjustRightInd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项目合同书</w:t>
      </w:r>
    </w:p>
    <w:p w14:paraId="13FE89A4">
      <w:pPr>
        <w:autoSpaceDE w:val="0"/>
        <w:autoSpaceDN w:val="0"/>
        <w:adjustRightInd w:val="0"/>
        <w:spacing w:line="360" w:lineRule="auto"/>
        <w:rPr>
          <w:rFonts w:hint="eastAsia" w:asciiTheme="minorEastAsia" w:hAnsiTheme="minorEastAsia" w:eastAsiaTheme="minorEastAsia" w:cstheme="minorEastAsia"/>
          <w:sz w:val="21"/>
          <w:szCs w:val="21"/>
        </w:rPr>
      </w:pPr>
    </w:p>
    <w:p w14:paraId="29098689">
      <w:pPr>
        <w:autoSpaceDE w:val="0"/>
        <w:autoSpaceDN w:val="0"/>
        <w:adjustRightInd w:val="0"/>
        <w:spacing w:line="360" w:lineRule="auto"/>
        <w:rPr>
          <w:rFonts w:hint="eastAsia" w:asciiTheme="minorEastAsia" w:hAnsiTheme="minorEastAsia" w:eastAsiaTheme="minorEastAsia" w:cstheme="minorEastAsia"/>
          <w:sz w:val="21"/>
          <w:szCs w:val="21"/>
        </w:rPr>
      </w:pPr>
    </w:p>
    <w:p w14:paraId="3F1F32D1">
      <w:pPr>
        <w:autoSpaceDE w:val="0"/>
        <w:autoSpaceDN w:val="0"/>
        <w:adjustRightInd w:val="0"/>
        <w:spacing w:line="360" w:lineRule="auto"/>
        <w:rPr>
          <w:rFonts w:hint="eastAsia" w:asciiTheme="minorEastAsia" w:hAnsiTheme="minorEastAsia" w:eastAsiaTheme="minorEastAsia" w:cstheme="minorEastAsia"/>
          <w:sz w:val="21"/>
          <w:szCs w:val="21"/>
        </w:rPr>
      </w:pPr>
    </w:p>
    <w:p w14:paraId="6362E5E7">
      <w:pPr>
        <w:pStyle w:val="69"/>
        <w:spacing w:line="360" w:lineRule="auto"/>
        <w:rPr>
          <w:rFonts w:hint="eastAsia" w:asciiTheme="minorEastAsia" w:hAnsiTheme="minorEastAsia" w:eastAsiaTheme="minorEastAsia" w:cstheme="minorEastAsia"/>
          <w:color w:val="auto"/>
          <w:kern w:val="2"/>
          <w:sz w:val="21"/>
          <w:szCs w:val="21"/>
        </w:rPr>
      </w:pPr>
    </w:p>
    <w:p w14:paraId="1332B066">
      <w:pPr>
        <w:pStyle w:val="69"/>
        <w:spacing w:line="360" w:lineRule="auto"/>
        <w:rPr>
          <w:rFonts w:hint="eastAsia" w:asciiTheme="minorEastAsia" w:hAnsiTheme="minorEastAsia" w:eastAsiaTheme="minorEastAsia" w:cstheme="minorEastAsia"/>
          <w:color w:val="auto"/>
          <w:kern w:val="2"/>
          <w:sz w:val="21"/>
          <w:szCs w:val="21"/>
        </w:rPr>
      </w:pPr>
    </w:p>
    <w:p w14:paraId="02B71982">
      <w:pPr>
        <w:pStyle w:val="69"/>
        <w:spacing w:line="360" w:lineRule="auto"/>
        <w:rPr>
          <w:rFonts w:hint="eastAsia" w:asciiTheme="minorEastAsia" w:hAnsiTheme="minorEastAsia" w:eastAsiaTheme="minorEastAsia" w:cstheme="minorEastAsia"/>
          <w:color w:val="auto"/>
          <w:kern w:val="2"/>
          <w:sz w:val="21"/>
          <w:szCs w:val="21"/>
        </w:rPr>
      </w:pPr>
    </w:p>
    <w:p w14:paraId="548D9814">
      <w:pPr>
        <w:pStyle w:val="69"/>
        <w:spacing w:line="360" w:lineRule="auto"/>
        <w:rPr>
          <w:rFonts w:hint="eastAsia" w:asciiTheme="minorEastAsia" w:hAnsiTheme="minorEastAsia" w:eastAsiaTheme="minorEastAsia" w:cstheme="minorEastAsia"/>
          <w:color w:val="auto"/>
          <w:kern w:val="2"/>
          <w:sz w:val="21"/>
          <w:szCs w:val="21"/>
        </w:rPr>
      </w:pPr>
    </w:p>
    <w:p w14:paraId="02293E53">
      <w:pPr>
        <w:pStyle w:val="69"/>
        <w:spacing w:line="360" w:lineRule="auto"/>
        <w:rPr>
          <w:rFonts w:hint="eastAsia" w:asciiTheme="minorEastAsia" w:hAnsiTheme="minorEastAsia" w:eastAsiaTheme="minorEastAsia" w:cstheme="minorEastAsia"/>
          <w:color w:val="auto"/>
          <w:kern w:val="2"/>
          <w:sz w:val="21"/>
          <w:szCs w:val="21"/>
        </w:rPr>
      </w:pPr>
    </w:p>
    <w:p w14:paraId="634924B6">
      <w:pPr>
        <w:pStyle w:val="69"/>
        <w:spacing w:line="360" w:lineRule="auto"/>
        <w:rPr>
          <w:rFonts w:hint="eastAsia" w:asciiTheme="minorEastAsia" w:hAnsiTheme="minorEastAsia" w:eastAsiaTheme="minorEastAsia" w:cstheme="minorEastAsia"/>
          <w:color w:val="auto"/>
          <w:kern w:val="2"/>
          <w:sz w:val="21"/>
          <w:szCs w:val="21"/>
        </w:rPr>
      </w:pPr>
    </w:p>
    <w:p w14:paraId="2490F872">
      <w:pPr>
        <w:pStyle w:val="69"/>
        <w:spacing w:line="360" w:lineRule="auto"/>
        <w:rPr>
          <w:rFonts w:hint="eastAsia" w:asciiTheme="minorEastAsia" w:hAnsiTheme="minorEastAsia" w:eastAsiaTheme="minorEastAsia" w:cstheme="minorEastAsia"/>
          <w:color w:val="auto"/>
          <w:kern w:val="2"/>
          <w:sz w:val="21"/>
          <w:szCs w:val="21"/>
        </w:rPr>
      </w:pPr>
    </w:p>
    <w:p w14:paraId="737EAFA2">
      <w:pPr>
        <w:autoSpaceDE w:val="0"/>
        <w:autoSpaceDN w:val="0"/>
        <w:adjustRightInd w:val="0"/>
        <w:spacing w:line="360" w:lineRule="auto"/>
        <w:rPr>
          <w:rFonts w:hint="eastAsia" w:asciiTheme="minorEastAsia" w:hAnsiTheme="minorEastAsia" w:eastAsiaTheme="minorEastAsia" w:cstheme="minorEastAsia"/>
          <w:sz w:val="21"/>
          <w:szCs w:val="21"/>
        </w:rPr>
      </w:pPr>
    </w:p>
    <w:p w14:paraId="146E3810">
      <w:pPr>
        <w:autoSpaceDE w:val="0"/>
        <w:autoSpaceDN w:val="0"/>
        <w:adjustRightInd w:val="0"/>
        <w:spacing w:line="360" w:lineRule="auto"/>
        <w:rPr>
          <w:rFonts w:hint="eastAsia" w:asciiTheme="minorEastAsia" w:hAnsiTheme="minorEastAsia" w:eastAsiaTheme="minorEastAsia" w:cstheme="minorEastAsia"/>
          <w:sz w:val="21"/>
          <w:szCs w:val="21"/>
        </w:rPr>
      </w:pPr>
    </w:p>
    <w:p w14:paraId="4FDA55B6">
      <w:pPr>
        <w:autoSpaceDE w:val="0"/>
        <w:autoSpaceDN w:val="0"/>
        <w:adjustRightInd w:val="0"/>
        <w:spacing w:line="360" w:lineRule="auto"/>
        <w:rPr>
          <w:rFonts w:hint="eastAsia" w:asciiTheme="minorEastAsia" w:hAnsiTheme="minorEastAsia" w:eastAsiaTheme="minorEastAsia" w:cstheme="minorEastAsia"/>
          <w:sz w:val="21"/>
          <w:szCs w:val="21"/>
        </w:rPr>
      </w:pPr>
    </w:p>
    <w:p w14:paraId="1CB94A25">
      <w:pPr>
        <w:autoSpaceDE w:val="0"/>
        <w:autoSpaceDN w:val="0"/>
        <w:adjustRightInd w:val="0"/>
        <w:spacing w:line="360" w:lineRule="auto"/>
        <w:rPr>
          <w:rFonts w:hint="eastAsia" w:asciiTheme="minorEastAsia" w:hAnsiTheme="minorEastAsia" w:eastAsiaTheme="minorEastAsia" w:cstheme="minorEastAsia"/>
          <w:sz w:val="21"/>
          <w:szCs w:val="21"/>
        </w:rPr>
      </w:pPr>
    </w:p>
    <w:p w14:paraId="6CE03BD5">
      <w:pPr>
        <w:autoSpaceDE w:val="0"/>
        <w:autoSpaceDN w:val="0"/>
        <w:adjustRightInd w:val="0"/>
        <w:spacing w:line="360" w:lineRule="auto"/>
        <w:rPr>
          <w:rFonts w:hint="eastAsia" w:asciiTheme="minorEastAsia" w:hAnsiTheme="minorEastAsia" w:eastAsiaTheme="minorEastAsia" w:cstheme="minorEastAsia"/>
          <w:sz w:val="21"/>
          <w:szCs w:val="21"/>
        </w:rPr>
      </w:pPr>
    </w:p>
    <w:p w14:paraId="7012354C">
      <w:pPr>
        <w:autoSpaceDE w:val="0"/>
        <w:autoSpaceDN w:val="0"/>
        <w:adjustRightInd w:val="0"/>
        <w:spacing w:line="360" w:lineRule="auto"/>
        <w:rPr>
          <w:rFonts w:hint="eastAsia" w:asciiTheme="minorEastAsia" w:hAnsiTheme="minorEastAsia" w:eastAsiaTheme="minorEastAsia" w:cstheme="minorEastAsia"/>
          <w:sz w:val="21"/>
          <w:szCs w:val="21"/>
        </w:rPr>
      </w:pPr>
    </w:p>
    <w:p w14:paraId="259630E1">
      <w:pPr>
        <w:autoSpaceDE w:val="0"/>
        <w:autoSpaceDN w:val="0"/>
        <w:adjustRightInd w:val="0"/>
        <w:spacing w:line="360" w:lineRule="auto"/>
        <w:rPr>
          <w:rFonts w:hint="eastAsia" w:asciiTheme="minorEastAsia" w:hAnsiTheme="minorEastAsia" w:eastAsiaTheme="minorEastAsia" w:cstheme="minorEastAsia"/>
          <w:sz w:val="21"/>
          <w:szCs w:val="21"/>
        </w:rPr>
      </w:pPr>
    </w:p>
    <w:p w14:paraId="46500113">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76" w:name="_Toc26699"/>
      <w:bookmarkStart w:id="877" w:name="_Toc27780_WPSOffice_Level3"/>
      <w:r>
        <w:rPr>
          <w:rFonts w:hint="eastAsia" w:asciiTheme="minorEastAsia" w:hAnsiTheme="minorEastAsia" w:eastAsiaTheme="minorEastAsia" w:cstheme="minorEastAsia"/>
          <w:sz w:val="21"/>
          <w:szCs w:val="21"/>
        </w:rPr>
        <w:t>政府采购项目编号：</w:t>
      </w:r>
      <w:bookmarkEnd w:id="876"/>
      <w:bookmarkEnd w:id="877"/>
      <w:r>
        <w:rPr>
          <w:rFonts w:hint="eastAsia" w:asciiTheme="minorEastAsia" w:hAnsiTheme="minorEastAsia" w:eastAsiaTheme="minorEastAsia" w:cstheme="minorEastAsia"/>
          <w:sz w:val="21"/>
          <w:szCs w:val="21"/>
          <w:u w:val="single"/>
        </w:rPr>
        <w:t xml:space="preserve">                                              </w:t>
      </w:r>
    </w:p>
    <w:p w14:paraId="6FCB9EB0">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u w:val="single"/>
        </w:rPr>
      </w:pPr>
      <w:bookmarkStart w:id="878" w:name="_Toc14618"/>
      <w:bookmarkStart w:id="879" w:name="_Toc25576_WPSOffice_Level3"/>
      <w:r>
        <w:rPr>
          <w:rFonts w:hint="eastAsia" w:asciiTheme="minorEastAsia" w:hAnsiTheme="minorEastAsia" w:eastAsiaTheme="minorEastAsia" w:cstheme="minorEastAsia"/>
          <w:sz w:val="21"/>
          <w:szCs w:val="21"/>
        </w:rPr>
        <w:t>项目名称：</w:t>
      </w:r>
      <w:bookmarkEnd w:id="878"/>
      <w:bookmarkEnd w:id="879"/>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lang w:eastAsia="zh-CN"/>
        </w:rPr>
        <w:t>平顶山市湛河区教育体育局心理咨询室设备采购项目</w:t>
      </w:r>
      <w:r>
        <w:rPr>
          <w:rFonts w:hint="eastAsia" w:asciiTheme="minorEastAsia" w:hAnsiTheme="minorEastAsia" w:eastAsiaTheme="minorEastAsia" w:cstheme="minorEastAsia"/>
          <w:sz w:val="21"/>
          <w:szCs w:val="21"/>
          <w:u w:val="single"/>
        </w:rPr>
        <w:t xml:space="preserve">   </w:t>
      </w:r>
    </w:p>
    <w:p w14:paraId="644B67C5">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u w:val="single"/>
        </w:rPr>
      </w:pPr>
      <w:bookmarkStart w:id="880" w:name="_Toc20156"/>
      <w:bookmarkStart w:id="881" w:name="_Toc10913_WPSOffice_Level3"/>
      <w:r>
        <w:rPr>
          <w:rFonts w:hint="eastAsia" w:asciiTheme="minorEastAsia" w:hAnsiTheme="minorEastAsia" w:eastAsiaTheme="minorEastAsia" w:cstheme="minorEastAsia"/>
          <w:sz w:val="21"/>
          <w:szCs w:val="21"/>
        </w:rPr>
        <w:t>合同金额（人民币）：</w:t>
      </w:r>
      <w:bookmarkEnd w:id="880"/>
      <w:bookmarkEnd w:id="881"/>
      <w:r>
        <w:rPr>
          <w:rFonts w:hint="eastAsia" w:asciiTheme="minorEastAsia" w:hAnsiTheme="minorEastAsia" w:eastAsiaTheme="minorEastAsia" w:cstheme="minorEastAsia"/>
          <w:sz w:val="21"/>
          <w:szCs w:val="21"/>
          <w:u w:val="single"/>
        </w:rPr>
        <w:t xml:space="preserve">                                 </w:t>
      </w:r>
    </w:p>
    <w:p w14:paraId="5CFF7D01">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2" w:name="_Toc9785"/>
      <w:bookmarkStart w:id="883" w:name="_Toc23698_WPSOffice_Level3"/>
      <w:r>
        <w:rPr>
          <w:rFonts w:hint="eastAsia" w:asciiTheme="minorEastAsia" w:hAnsiTheme="minorEastAsia" w:eastAsiaTheme="minorEastAsia" w:cstheme="minorEastAsia"/>
          <w:sz w:val="21"/>
          <w:szCs w:val="21"/>
        </w:rPr>
        <w:t>采购人（甲方）：</w:t>
      </w:r>
      <w:r>
        <w:rPr>
          <w:rFonts w:hint="eastAsia" w:asciiTheme="minorEastAsia" w:hAnsiTheme="minorEastAsia" w:eastAsiaTheme="minorEastAsia" w:cstheme="minorEastAsia"/>
          <w:sz w:val="21"/>
          <w:szCs w:val="21"/>
          <w:u w:val="single"/>
        </w:rPr>
        <w:t xml:space="preserve">        平顶山市湛河区教育体育局     </w:t>
      </w:r>
      <w:r>
        <w:rPr>
          <w:rFonts w:hint="eastAsia" w:asciiTheme="minorEastAsia" w:hAnsiTheme="minorEastAsia" w:eastAsiaTheme="minorEastAsia" w:cstheme="minorEastAsia"/>
          <w:sz w:val="21"/>
          <w:szCs w:val="21"/>
        </w:rPr>
        <w:t>（盖章）</w:t>
      </w:r>
      <w:bookmarkEnd w:id="882"/>
      <w:bookmarkEnd w:id="883"/>
    </w:p>
    <w:p w14:paraId="603BE23A">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4" w:name="_Toc2752"/>
      <w:bookmarkStart w:id="885" w:name="_Toc26018_WPSOffice_Level3"/>
      <w:r>
        <w:rPr>
          <w:rFonts w:hint="eastAsia" w:asciiTheme="minorEastAsia" w:hAnsiTheme="minorEastAsia" w:eastAsiaTheme="minorEastAsia" w:cstheme="minorEastAsia"/>
          <w:sz w:val="21"/>
          <w:szCs w:val="21"/>
        </w:rPr>
        <w:t>中标人（乙方）：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（盖章）</w:t>
      </w:r>
      <w:bookmarkEnd w:id="884"/>
      <w:bookmarkEnd w:id="885"/>
    </w:p>
    <w:p w14:paraId="72DA5001">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6" w:name="_Toc20796_WPSOffice_Level3"/>
      <w:bookmarkStart w:id="887" w:name="_Toc28577"/>
      <w:r>
        <w:rPr>
          <w:rFonts w:hint="eastAsia" w:asciiTheme="minorEastAsia" w:hAnsiTheme="minorEastAsia" w:eastAsiaTheme="minorEastAsia" w:cstheme="minorEastAsia"/>
          <w:sz w:val="21"/>
          <w:szCs w:val="21"/>
          <w:lang w:val="en-US" w:eastAsia="zh-CN"/>
        </w:rPr>
        <w:t>签订</w:t>
      </w:r>
      <w:r>
        <w:rPr>
          <w:rFonts w:hint="eastAsia" w:asciiTheme="minorEastAsia" w:hAnsiTheme="minorEastAsia" w:eastAsiaTheme="minorEastAsia" w:cstheme="minorEastAsia"/>
          <w:sz w:val="21"/>
          <w:szCs w:val="21"/>
        </w:rPr>
        <w:t>日期：</w:t>
      </w:r>
      <w:bookmarkEnd w:id="886"/>
      <w:bookmarkEnd w:id="887"/>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u w:val="single"/>
        </w:rPr>
        <w:t xml:space="preserve">          202</w:t>
      </w:r>
      <w:r>
        <w:rPr>
          <w:rFonts w:hint="eastAsia" w:asciiTheme="minorEastAsia" w:hAnsiTheme="minorEastAsia" w:eastAsiaTheme="minorEastAsia" w:cstheme="minorEastAsia"/>
          <w:sz w:val="21"/>
          <w:szCs w:val="21"/>
          <w:u w:val="single"/>
          <w:lang w:val="en-US" w:eastAsia="zh-CN"/>
        </w:rPr>
        <w:t>6</w:t>
      </w:r>
      <w:r>
        <w:rPr>
          <w:rFonts w:hint="eastAsia" w:asciiTheme="minorEastAsia" w:hAnsiTheme="minorEastAsia" w:eastAsiaTheme="minorEastAsia" w:cstheme="minorEastAsia"/>
          <w:sz w:val="21"/>
          <w:szCs w:val="21"/>
          <w:u w:val="single"/>
        </w:rPr>
        <w:t xml:space="preserve">年   月    日         </w:t>
      </w:r>
      <w:r>
        <w:rPr>
          <w:rFonts w:hint="eastAsia" w:asciiTheme="minorEastAsia" w:hAnsiTheme="minorEastAsia" w:eastAsiaTheme="minorEastAsia" w:cstheme="minorEastAsia"/>
          <w:sz w:val="21"/>
          <w:szCs w:val="21"/>
        </w:rPr>
        <w:t xml:space="preserve"> </w:t>
      </w:r>
    </w:p>
    <w:p w14:paraId="5E3E765B">
      <w:pPr>
        <w:autoSpaceDE w:val="0"/>
        <w:autoSpaceDN w:val="0"/>
        <w:adjustRightInd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r>
      <w:r>
        <w:rPr>
          <w:rFonts w:hint="eastAsia" w:asciiTheme="minorEastAsia" w:hAnsiTheme="minorEastAsia" w:eastAsiaTheme="minorEastAsia" w:cstheme="minorEastAsia"/>
          <w:sz w:val="21"/>
          <w:szCs w:val="21"/>
        </w:rPr>
        <w:t>采购人（以下简称甲方）：平顶山市湛河区教育体育局</w:t>
      </w:r>
    </w:p>
    <w:p w14:paraId="4276B2C7">
      <w:pPr>
        <w:autoSpaceDE w:val="0"/>
        <w:autoSpaceDN w:val="0"/>
        <w:adjustRightInd w:val="0"/>
        <w:spacing w:line="360" w:lineRule="auto"/>
        <w:rPr>
          <w:rFonts w:hint="eastAsia" w:asciiTheme="minorEastAsia" w:hAnsiTheme="minorEastAsia" w:eastAsiaTheme="minorEastAsia" w:cstheme="minorEastAsia"/>
          <w:sz w:val="21"/>
          <w:szCs w:val="21"/>
        </w:rPr>
      </w:pPr>
      <w:bookmarkStart w:id="888" w:name="_Toc4033_WPSOffice_Level3"/>
      <w:bookmarkStart w:id="889" w:name="_Toc20301"/>
      <w:r>
        <w:rPr>
          <w:rFonts w:hint="eastAsia" w:asciiTheme="minorEastAsia" w:hAnsiTheme="minorEastAsia" w:eastAsiaTheme="minorEastAsia" w:cstheme="minorEastAsia"/>
          <w:sz w:val="21"/>
          <w:szCs w:val="21"/>
        </w:rPr>
        <w:t>中标人（以下简称乙方）：</w:t>
      </w:r>
      <w:bookmarkEnd w:id="888"/>
      <w:bookmarkEnd w:id="889"/>
    </w:p>
    <w:p w14:paraId="7B9898A2">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甲、乙双方根据《中华人民共和国政府采购法》《中华人民共和国民法典（合同编）》</w:t>
      </w:r>
      <w:r>
        <w:rPr>
          <w:rFonts w:hint="eastAsia" w:asciiTheme="minorEastAsia" w:hAnsiTheme="minorEastAsia" w:eastAsiaTheme="minorEastAsia" w:cstheme="minorEastAsia"/>
          <w:sz w:val="21"/>
          <w:szCs w:val="21"/>
          <w:lang w:val="en-US" w:eastAsia="zh-CN"/>
        </w:rPr>
        <w:t>等相关法律法规</w:t>
      </w:r>
      <w:r>
        <w:rPr>
          <w:rFonts w:hint="eastAsia" w:asciiTheme="minorEastAsia" w:hAnsiTheme="minorEastAsia" w:eastAsiaTheme="minorEastAsia" w:cstheme="minorEastAsia"/>
          <w:sz w:val="21"/>
          <w:szCs w:val="21"/>
        </w:rPr>
        <w:t>和本次</w:t>
      </w:r>
      <w:r>
        <w:rPr>
          <w:rFonts w:hint="eastAsia" w:asciiTheme="minorEastAsia" w:hAnsiTheme="minorEastAsia" w:eastAsiaTheme="minorEastAsia" w:cstheme="minorEastAsia"/>
          <w:sz w:val="21"/>
          <w:szCs w:val="21"/>
          <w:u w:val="single"/>
          <w:lang w:eastAsia="zh-CN"/>
        </w:rPr>
        <w:t>平顶山市湛河区教育体育局心理咨询室设备采购项目</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（政府采购项目编号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文件要求和采购人、采购代理机构出具的《</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通知书》，并经双方协商一致，签订本合同协议书。</w:t>
      </w:r>
    </w:p>
    <w:p w14:paraId="5A462106">
      <w:pPr>
        <w:autoSpaceDE w:val="0"/>
        <w:autoSpaceDN w:val="0"/>
        <w:spacing w:line="360" w:lineRule="auto"/>
        <w:rPr>
          <w:rFonts w:hint="eastAsia" w:asciiTheme="minorEastAsia" w:hAnsiTheme="minorEastAsia" w:eastAsiaTheme="minorEastAsia" w:cstheme="minorEastAsia"/>
          <w:sz w:val="21"/>
          <w:szCs w:val="21"/>
        </w:rPr>
      </w:pPr>
      <w:bookmarkStart w:id="890" w:name="_Toc20264_WPSOffice_Level3"/>
      <w:bookmarkStart w:id="891" w:name="_Toc29772"/>
      <w:r>
        <w:rPr>
          <w:rFonts w:hint="eastAsia" w:asciiTheme="minorEastAsia" w:hAnsiTheme="minorEastAsia" w:eastAsiaTheme="minorEastAsia" w:cstheme="minorEastAsia"/>
          <w:sz w:val="21"/>
          <w:szCs w:val="21"/>
        </w:rPr>
        <w:t>一、签订本采购合同的依据</w:t>
      </w:r>
      <w:bookmarkEnd w:id="890"/>
      <w:bookmarkEnd w:id="891"/>
    </w:p>
    <w:p w14:paraId="267E060D">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本采购合同所附下列文件是构成本采购合同不可分割的部分：</w:t>
      </w:r>
    </w:p>
    <w:p w14:paraId="1A6B14C3">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w:t>
      </w:r>
    </w:p>
    <w:p w14:paraId="691EAE09">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文件的澄清、变更公告；</w:t>
      </w:r>
    </w:p>
    <w:p w14:paraId="5754EA92">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人提交的</w:t>
      </w:r>
      <w:r>
        <w:rPr>
          <w:rFonts w:hint="eastAsia" w:asciiTheme="minorEastAsia" w:hAnsiTheme="minorEastAsia" w:eastAsiaTheme="minorEastAsia" w:cstheme="minorEastAsia"/>
          <w:sz w:val="21"/>
          <w:szCs w:val="21"/>
          <w:lang w:val="en-US" w:eastAsia="zh-CN"/>
        </w:rPr>
        <w:t>投标文件</w:t>
      </w:r>
      <w:r>
        <w:rPr>
          <w:rFonts w:hint="eastAsia" w:asciiTheme="minorEastAsia" w:hAnsiTheme="minorEastAsia" w:eastAsiaTheme="minorEastAsia" w:cstheme="minorEastAsia"/>
          <w:sz w:val="21"/>
          <w:szCs w:val="21"/>
        </w:rPr>
        <w:t>文件；</w:t>
      </w:r>
    </w:p>
    <w:p w14:paraId="1BC43483">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文件中规定的政府采购合同通用条款；</w:t>
      </w:r>
    </w:p>
    <w:p w14:paraId="7BA3C4CF">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通知书。</w:t>
      </w:r>
    </w:p>
    <w:p w14:paraId="47BA54FB">
      <w:pPr>
        <w:autoSpaceDE w:val="0"/>
        <w:autoSpaceDN w:val="0"/>
        <w:spacing w:line="360" w:lineRule="auto"/>
        <w:rPr>
          <w:rFonts w:hint="eastAsia" w:asciiTheme="minorEastAsia" w:hAnsiTheme="minorEastAsia" w:eastAsiaTheme="minorEastAsia" w:cstheme="minorEastAsia"/>
          <w:sz w:val="21"/>
          <w:szCs w:val="21"/>
        </w:rPr>
      </w:pPr>
      <w:bookmarkStart w:id="892" w:name="_Toc25406_WPSOffice_Level3"/>
      <w:bookmarkStart w:id="893" w:name="_Toc11383"/>
      <w:r>
        <w:rPr>
          <w:rFonts w:hint="eastAsia" w:asciiTheme="minorEastAsia" w:hAnsiTheme="minorEastAsia" w:eastAsiaTheme="minorEastAsia" w:cstheme="minorEastAsia"/>
          <w:sz w:val="21"/>
          <w:szCs w:val="21"/>
        </w:rPr>
        <w:t>二、合同标的及金额                                                               单位：元</w:t>
      </w:r>
      <w:bookmarkEnd w:id="892"/>
      <w:bookmarkEnd w:id="893"/>
    </w:p>
    <w:tbl>
      <w:tblPr>
        <w:tblStyle w:val="30"/>
        <w:tblW w:w="5000" w:type="pct"/>
        <w:jc w:val="center"/>
        <w:tblLayout w:type="autofit"/>
        <w:tblCellMar>
          <w:top w:w="0" w:type="dxa"/>
          <w:left w:w="28" w:type="dxa"/>
          <w:bottom w:w="0" w:type="dxa"/>
          <w:right w:w="28" w:type="dxa"/>
        </w:tblCellMar>
      </w:tblPr>
      <w:tblGrid>
        <w:gridCol w:w="709"/>
        <w:gridCol w:w="1767"/>
        <w:gridCol w:w="1205"/>
        <w:gridCol w:w="858"/>
        <w:gridCol w:w="1476"/>
        <w:gridCol w:w="1053"/>
        <w:gridCol w:w="799"/>
        <w:gridCol w:w="940"/>
        <w:gridCol w:w="938"/>
      </w:tblGrid>
      <w:tr w14:paraId="72291963">
        <w:tblPrEx>
          <w:tblCellMar>
            <w:top w:w="0" w:type="dxa"/>
            <w:left w:w="28" w:type="dxa"/>
            <w:bottom w:w="0" w:type="dxa"/>
            <w:right w:w="28" w:type="dxa"/>
          </w:tblCellMar>
        </w:tblPrEx>
        <w:trPr>
          <w:trHeight w:val="23" w:hRule="atLeast"/>
          <w:jc w:val="center"/>
        </w:trPr>
        <w:tc>
          <w:tcPr>
            <w:tcW w:w="364" w:type="pct"/>
            <w:tcBorders>
              <w:top w:val="single" w:color="000000" w:sz="8" w:space="0"/>
              <w:left w:val="single" w:color="000000" w:sz="8" w:space="0"/>
              <w:bottom w:val="single" w:color="000000" w:sz="6" w:space="0"/>
              <w:right w:val="single" w:color="000000" w:sz="6" w:space="0"/>
            </w:tcBorders>
            <w:noWrap w:val="0"/>
            <w:vAlign w:val="center"/>
          </w:tcPr>
          <w:p w14:paraId="0B575D2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907" w:type="pct"/>
            <w:tcBorders>
              <w:top w:val="single" w:color="000000" w:sz="8" w:space="0"/>
              <w:left w:val="single" w:color="000000" w:sz="6" w:space="0"/>
              <w:bottom w:val="single" w:color="000000" w:sz="6" w:space="0"/>
              <w:right w:val="single" w:color="000000" w:sz="6" w:space="0"/>
            </w:tcBorders>
            <w:noWrap w:val="0"/>
            <w:vAlign w:val="center"/>
          </w:tcPr>
          <w:p w14:paraId="43F5F7EA">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产品名称</w:t>
            </w:r>
          </w:p>
        </w:tc>
        <w:tc>
          <w:tcPr>
            <w:tcW w:w="618" w:type="pct"/>
            <w:tcBorders>
              <w:top w:val="single" w:color="000000" w:sz="8" w:space="0"/>
              <w:left w:val="single" w:color="000000" w:sz="6" w:space="0"/>
              <w:bottom w:val="single" w:color="000000" w:sz="6" w:space="0"/>
              <w:right w:val="single" w:color="000000" w:sz="6" w:space="0"/>
            </w:tcBorders>
            <w:noWrap w:val="0"/>
            <w:vAlign w:val="center"/>
          </w:tcPr>
          <w:p w14:paraId="11CC21BF">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品牌</w:t>
            </w:r>
          </w:p>
        </w:tc>
        <w:tc>
          <w:tcPr>
            <w:tcW w:w="440" w:type="pct"/>
            <w:tcBorders>
              <w:top w:val="single" w:color="000000" w:sz="8" w:space="0"/>
              <w:left w:val="single" w:color="000000" w:sz="6" w:space="0"/>
              <w:bottom w:val="single" w:color="000000" w:sz="6" w:space="0"/>
              <w:right w:val="single" w:color="000000" w:sz="6" w:space="0"/>
            </w:tcBorders>
            <w:noWrap w:val="0"/>
            <w:vAlign w:val="center"/>
          </w:tcPr>
          <w:p w14:paraId="10F10557">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规格</w:t>
            </w:r>
          </w:p>
          <w:p w14:paraId="140A4103">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w:t>
            </w:r>
          </w:p>
        </w:tc>
        <w:tc>
          <w:tcPr>
            <w:tcW w:w="757" w:type="pct"/>
            <w:tcBorders>
              <w:top w:val="single" w:color="000000" w:sz="8" w:space="0"/>
              <w:left w:val="single" w:color="000000" w:sz="6" w:space="0"/>
              <w:bottom w:val="single" w:color="000000" w:sz="6" w:space="0"/>
              <w:right w:val="single" w:color="000000" w:sz="6" w:space="0"/>
            </w:tcBorders>
            <w:noWrap w:val="0"/>
            <w:vAlign w:val="center"/>
          </w:tcPr>
          <w:p w14:paraId="448AB4E2">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制造商</w:t>
            </w:r>
          </w:p>
        </w:tc>
        <w:tc>
          <w:tcPr>
            <w:tcW w:w="540" w:type="pct"/>
            <w:tcBorders>
              <w:top w:val="single" w:color="000000" w:sz="8" w:space="0"/>
              <w:left w:val="single" w:color="000000" w:sz="6" w:space="0"/>
              <w:bottom w:val="single" w:color="000000" w:sz="6" w:space="0"/>
              <w:right w:val="single" w:color="000000" w:sz="6" w:space="0"/>
            </w:tcBorders>
            <w:noWrap w:val="0"/>
            <w:vAlign w:val="center"/>
          </w:tcPr>
          <w:p w14:paraId="53E0623E">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数量及</w:t>
            </w:r>
          </w:p>
          <w:p w14:paraId="6995BBC0">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w:t>
            </w:r>
          </w:p>
        </w:tc>
        <w:tc>
          <w:tcPr>
            <w:tcW w:w="410" w:type="pct"/>
            <w:tcBorders>
              <w:top w:val="single" w:color="000000" w:sz="8" w:space="0"/>
              <w:left w:val="single" w:color="000000" w:sz="6" w:space="0"/>
              <w:bottom w:val="single" w:color="000000" w:sz="6" w:space="0"/>
              <w:right w:val="single" w:color="000000" w:sz="6" w:space="0"/>
            </w:tcBorders>
            <w:noWrap w:val="0"/>
            <w:vAlign w:val="center"/>
          </w:tcPr>
          <w:p w14:paraId="2C27CE4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w:t>
            </w:r>
          </w:p>
        </w:tc>
        <w:tc>
          <w:tcPr>
            <w:tcW w:w="482" w:type="pct"/>
            <w:tcBorders>
              <w:top w:val="single" w:color="000000" w:sz="8" w:space="0"/>
              <w:left w:val="single" w:color="000000" w:sz="6" w:space="0"/>
              <w:bottom w:val="single" w:color="000000" w:sz="6" w:space="0"/>
              <w:right w:val="single" w:color="000000" w:sz="6" w:space="0"/>
            </w:tcBorders>
            <w:noWrap w:val="0"/>
            <w:vAlign w:val="center"/>
          </w:tcPr>
          <w:p w14:paraId="039AAC5A">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w:t>
            </w:r>
          </w:p>
        </w:tc>
        <w:tc>
          <w:tcPr>
            <w:tcW w:w="481" w:type="pct"/>
            <w:tcBorders>
              <w:top w:val="single" w:color="000000" w:sz="8" w:space="0"/>
              <w:left w:val="single" w:color="000000" w:sz="6" w:space="0"/>
              <w:bottom w:val="single" w:color="000000" w:sz="6" w:space="0"/>
              <w:right w:val="single" w:color="000000" w:sz="8" w:space="0"/>
            </w:tcBorders>
            <w:noWrap w:val="0"/>
            <w:vAlign w:val="center"/>
          </w:tcPr>
          <w:p w14:paraId="295E59B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免费</w:t>
            </w:r>
          </w:p>
          <w:p w14:paraId="16436CFF">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质保期</w:t>
            </w:r>
          </w:p>
        </w:tc>
      </w:tr>
      <w:tr w14:paraId="0E659BC9">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047F72BD">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2DA7AFFF">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0DA7E0FB">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448E8ACF">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09576531">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4E2D7EE5">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37387F2B">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3778DFF3">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4CFFD2D4">
            <w:pPr>
              <w:autoSpaceDE w:val="0"/>
              <w:autoSpaceDN w:val="0"/>
              <w:spacing w:line="360" w:lineRule="auto"/>
              <w:jc w:val="center"/>
              <w:rPr>
                <w:rFonts w:hint="eastAsia" w:asciiTheme="minorEastAsia" w:hAnsiTheme="minorEastAsia" w:eastAsiaTheme="minorEastAsia" w:cstheme="minorEastAsia"/>
                <w:sz w:val="21"/>
                <w:szCs w:val="21"/>
              </w:rPr>
            </w:pPr>
          </w:p>
        </w:tc>
      </w:tr>
      <w:tr w14:paraId="61DC4D2D">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21D0F4C6">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195B6E2B">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2EA441BF">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076DCAAD">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3D9EA396">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BE6E276">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7EA9BB6E">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7D461759">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7CB7805F">
            <w:pPr>
              <w:autoSpaceDE w:val="0"/>
              <w:autoSpaceDN w:val="0"/>
              <w:spacing w:line="360" w:lineRule="auto"/>
              <w:jc w:val="center"/>
              <w:rPr>
                <w:rFonts w:hint="eastAsia" w:asciiTheme="minorEastAsia" w:hAnsiTheme="minorEastAsia" w:eastAsiaTheme="minorEastAsia" w:cstheme="minorEastAsia"/>
                <w:sz w:val="21"/>
                <w:szCs w:val="21"/>
              </w:rPr>
            </w:pPr>
          </w:p>
        </w:tc>
      </w:tr>
      <w:tr w14:paraId="7B6464DE">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58AD5BD9">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302D9BB1">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389FABF6">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2BAA76EB">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7228DD67">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DBEA071">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59AFD1E0">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79409E17">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12CDAB6D">
            <w:pPr>
              <w:autoSpaceDE w:val="0"/>
              <w:autoSpaceDN w:val="0"/>
              <w:spacing w:line="360" w:lineRule="auto"/>
              <w:jc w:val="center"/>
              <w:rPr>
                <w:rFonts w:hint="eastAsia" w:asciiTheme="minorEastAsia" w:hAnsiTheme="minorEastAsia" w:eastAsiaTheme="minorEastAsia" w:cstheme="minorEastAsia"/>
                <w:sz w:val="21"/>
                <w:szCs w:val="21"/>
              </w:rPr>
            </w:pPr>
          </w:p>
        </w:tc>
      </w:tr>
      <w:tr w14:paraId="506CA84F">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48049E24">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132439B2">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39DF4391">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78133B96">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0B017EC6">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2814D7A">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0E792E26">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5CC9B511">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0ABDDCFA">
            <w:pPr>
              <w:autoSpaceDE w:val="0"/>
              <w:autoSpaceDN w:val="0"/>
              <w:spacing w:line="360" w:lineRule="auto"/>
              <w:jc w:val="center"/>
              <w:rPr>
                <w:rFonts w:hint="eastAsia" w:asciiTheme="minorEastAsia" w:hAnsiTheme="minorEastAsia" w:eastAsiaTheme="minorEastAsia" w:cstheme="minorEastAsia"/>
                <w:sz w:val="21"/>
                <w:szCs w:val="21"/>
              </w:rPr>
            </w:pPr>
          </w:p>
        </w:tc>
      </w:tr>
    </w:tbl>
    <w:p w14:paraId="6A7D6546">
      <w:pPr>
        <w:autoSpaceDE w:val="0"/>
        <w:autoSpaceDN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根据上述采购合同文件要求，本采购合同的总金额为人民币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元。</w:t>
      </w:r>
    </w:p>
    <w:p w14:paraId="1C7DB45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本合同以人民币进行结算，合同总价包括：产品费、验收费、手续费、包装费、运输费、保险费、安装费、调试费、培训费、售前、售中、售后服务费、税金及不可预见费等全部费用。</w:t>
      </w:r>
    </w:p>
    <w:p w14:paraId="45A41163">
      <w:pPr>
        <w:autoSpaceDE w:val="0"/>
        <w:autoSpaceDN w:val="0"/>
        <w:spacing w:line="360" w:lineRule="auto"/>
        <w:rPr>
          <w:rFonts w:hint="eastAsia" w:asciiTheme="minorEastAsia" w:hAnsiTheme="minorEastAsia" w:eastAsiaTheme="minorEastAsia" w:cstheme="minorEastAsia"/>
          <w:sz w:val="21"/>
          <w:szCs w:val="21"/>
        </w:rPr>
      </w:pPr>
      <w:bookmarkStart w:id="894" w:name="_Toc9868_WPSOffice_Level3"/>
      <w:bookmarkStart w:id="895" w:name="_Toc29937"/>
      <w:r>
        <w:rPr>
          <w:rFonts w:hint="eastAsia" w:asciiTheme="minorEastAsia" w:hAnsiTheme="minorEastAsia" w:eastAsiaTheme="minorEastAsia" w:cstheme="minorEastAsia"/>
          <w:sz w:val="21"/>
          <w:szCs w:val="21"/>
        </w:rPr>
        <w:t>三、交付时间、地点和要求</w:t>
      </w:r>
      <w:bookmarkEnd w:id="894"/>
      <w:bookmarkEnd w:id="895"/>
    </w:p>
    <w:p w14:paraId="47F1174E">
      <w:pPr>
        <w:autoSpaceDE w:val="0"/>
        <w:autoSpaceDN w:val="0"/>
        <w:spacing w:line="360" w:lineRule="auto"/>
        <w:ind w:firstLine="36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1、交货及安装期：</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；交货地点：</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54C70AC5">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2、乙方提供不符合招投标文件和本合同规定的产品，甲方有权拒绝接受。</w:t>
      </w:r>
    </w:p>
    <w:p w14:paraId="3D071868">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3、乙方应将提供产品的装箱清单、用户手册、原厂保修卡、随机资料、工具和备品、备件等交付给甲方。</w:t>
      </w:r>
    </w:p>
    <w:p w14:paraId="12061F66">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4、采购人有权委托具备相应资质的第三方专业机构（河南省教育资源保障中心）对本项目进行验收，验收费用由乙方(中标供应商)承担，已包含在合同总价中，甲方(采购人)不另行支付。</w:t>
      </w:r>
    </w:p>
    <w:p w14:paraId="5D2459ED">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rPr>
        <w:t>第三方验收费用的支付方式为:乙方应在甲方指定的第三方验收机构出具验收结果报告前，向该验收机构全额支付验收费用，并向甲方提交支付凭证。若乙方未按时支付验收费用导致验收工作延误的，由乙方承担相应违约责任。</w:t>
      </w:r>
    </w:p>
    <w:p w14:paraId="0B8D12C9">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 w:val="21"/>
          <w:szCs w:val="21"/>
        </w:rPr>
        <w:t>甲方应当在到货（安装、调试完）后及时进行验收，逾期不验收的，乙方可视为验收合格。</w:t>
      </w:r>
    </w:p>
    <w:p w14:paraId="6C40547F">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、甲方在验收过程中发现乙方有违约问题，可按招、投标文件的规定要求乙方及时予以解决。</w:t>
      </w:r>
    </w:p>
    <w:p w14:paraId="368FBE6C">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8</w:t>
      </w:r>
      <w:r>
        <w:rPr>
          <w:rFonts w:hint="eastAsia" w:asciiTheme="minorEastAsia" w:hAnsiTheme="minorEastAsia" w:eastAsiaTheme="minorEastAsia" w:cstheme="minorEastAsia"/>
          <w:color w:val="auto"/>
          <w:sz w:val="21"/>
          <w:szCs w:val="21"/>
        </w:rPr>
        <w:t>、乙方向甲方提供产品相关完税销售发票。</w:t>
      </w:r>
    </w:p>
    <w:p w14:paraId="48BC0AC2">
      <w:pPr>
        <w:autoSpaceDE w:val="0"/>
        <w:autoSpaceDN w:val="0"/>
        <w:spacing w:line="360" w:lineRule="auto"/>
        <w:rPr>
          <w:rFonts w:hint="eastAsia" w:asciiTheme="minorEastAsia" w:hAnsiTheme="minorEastAsia" w:eastAsiaTheme="minorEastAsia" w:cstheme="minorEastAsia"/>
          <w:bCs/>
          <w:color w:val="auto"/>
          <w:sz w:val="21"/>
          <w:szCs w:val="21"/>
          <w:u w:val="single"/>
        </w:rPr>
      </w:pPr>
      <w:bookmarkStart w:id="896" w:name="_Toc15012_WPSOffice_Level3"/>
      <w:bookmarkStart w:id="897" w:name="_Toc21826"/>
      <w:r>
        <w:rPr>
          <w:rFonts w:hint="eastAsia" w:asciiTheme="minorEastAsia" w:hAnsiTheme="minorEastAsia" w:eastAsiaTheme="minorEastAsia" w:cstheme="minorEastAsia"/>
          <w:bCs/>
          <w:color w:val="auto"/>
          <w:sz w:val="21"/>
          <w:szCs w:val="21"/>
        </w:rPr>
        <w:t>四、付款方式</w:t>
      </w:r>
      <w:bookmarkEnd w:id="896"/>
      <w:bookmarkEnd w:id="897"/>
      <w:r>
        <w:rPr>
          <w:rFonts w:hint="eastAsia" w:asciiTheme="minorEastAsia" w:hAnsiTheme="minorEastAsia" w:eastAsiaTheme="minorEastAsia" w:cstheme="minorEastAsia"/>
          <w:bCs/>
          <w:color w:val="auto"/>
          <w:sz w:val="21"/>
          <w:szCs w:val="21"/>
        </w:rPr>
        <w:t>：</w:t>
      </w:r>
      <w:r>
        <w:rPr>
          <w:rFonts w:hint="eastAsia" w:asciiTheme="minorEastAsia" w:hAnsiTheme="minorEastAsia" w:eastAsiaTheme="minorEastAsia" w:cstheme="minorEastAsia"/>
          <w:bCs/>
          <w:color w:val="auto"/>
          <w:sz w:val="21"/>
          <w:szCs w:val="21"/>
          <w:u w:val="single"/>
        </w:rPr>
        <w:t>合同签订后支付合同总价的30%作为项目预付款，首付款比列为50%。整体项目通过验收后，甲方一次性付清剩余合同款项。</w:t>
      </w:r>
    </w:p>
    <w:p w14:paraId="3D392302">
      <w:pPr>
        <w:autoSpaceDE w:val="0"/>
        <w:autoSpaceDN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五、售后服务</w:t>
      </w:r>
    </w:p>
    <w:p w14:paraId="02DAD2D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1、免费质保期：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14:paraId="29FDDCD1">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2、乙方严格按照</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文件中售后服务承诺进行售后服务；</w:t>
      </w:r>
    </w:p>
    <w:p w14:paraId="796CA37A">
      <w:pPr>
        <w:pStyle w:val="60"/>
        <w:ind w:firstLine="0" w:firstLineChars="0"/>
        <w:rPr>
          <w:rFonts w:hint="eastAsia" w:asciiTheme="minorEastAsia" w:hAnsiTheme="minorEastAsia" w:eastAsiaTheme="minorEastAsia" w:cstheme="minorEastAsia"/>
          <w:sz w:val="21"/>
          <w:szCs w:val="21"/>
        </w:rPr>
      </w:pPr>
      <w:bookmarkStart w:id="898" w:name="_Toc3653_WPSOffice_Level3"/>
      <w:bookmarkStart w:id="899" w:name="_Toc8453"/>
      <w:r>
        <w:rPr>
          <w:rFonts w:hint="eastAsia" w:asciiTheme="minorEastAsia" w:hAnsiTheme="minorEastAsia" w:eastAsiaTheme="minorEastAsia" w:cstheme="minorEastAsia"/>
          <w:sz w:val="21"/>
          <w:szCs w:val="21"/>
        </w:rPr>
        <w:t>六、合同的变更、终止与转让</w:t>
      </w:r>
      <w:bookmarkEnd w:id="898"/>
      <w:bookmarkEnd w:id="899"/>
    </w:p>
    <w:p w14:paraId="1F3CD6C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1、除《中华人民共和国政府采购法》第50条规定的情形外，本合同一经签订，甲乙双方不得擅自变更、中止或终止。</w:t>
      </w:r>
    </w:p>
    <w:p w14:paraId="24995876">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2、乙方不得擅自转让其应履行的合同义务。</w:t>
      </w:r>
    </w:p>
    <w:p w14:paraId="640B91DE">
      <w:pPr>
        <w:autoSpaceDE w:val="0"/>
        <w:autoSpaceDN w:val="0"/>
        <w:spacing w:line="360" w:lineRule="auto"/>
        <w:rPr>
          <w:rFonts w:hint="eastAsia" w:asciiTheme="minorEastAsia" w:hAnsiTheme="minorEastAsia" w:eastAsiaTheme="minorEastAsia" w:cstheme="minorEastAsia"/>
          <w:sz w:val="21"/>
          <w:szCs w:val="21"/>
        </w:rPr>
      </w:pPr>
      <w:bookmarkStart w:id="900" w:name="_Toc9681_WPSOffice_Level3"/>
      <w:bookmarkStart w:id="901" w:name="_Toc27080"/>
      <w:r>
        <w:rPr>
          <w:rFonts w:hint="eastAsia" w:asciiTheme="minorEastAsia" w:hAnsiTheme="minorEastAsia" w:eastAsiaTheme="minorEastAsia" w:cstheme="minorEastAsia"/>
          <w:sz w:val="21"/>
          <w:szCs w:val="21"/>
        </w:rPr>
        <w:t>七、违约责任</w:t>
      </w:r>
      <w:bookmarkEnd w:id="900"/>
      <w:bookmarkEnd w:id="901"/>
    </w:p>
    <w:p w14:paraId="0CC85F7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1、乙方所提供的产品规格、技术标准、材料等质量不合格的，应及时更换；因质量问题甲方不同意接收的，由乙方赔偿由此引起的甲方的一切经济损失。</w:t>
      </w:r>
    </w:p>
    <w:p w14:paraId="760989B3">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2、乙方提供的产品如侵犯了第三方权益而引发纠纷或诉讼的，均由乙方负责交涉并承担全部责任。</w:t>
      </w:r>
    </w:p>
    <w:p w14:paraId="43C802D4">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3、因包装、运输引起的产品损坏，由乙方负责。</w:t>
      </w:r>
    </w:p>
    <w:p w14:paraId="5A4B0C9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4、甲方无故延期接受产品和乙方逾期交货的，每天应向对方偿付未交产品的货款3‰的违约金，但违约金累计不得超过违约货款的5%，超过 30 天对方有权解除合同，违约方承担因此给对方造成的经济损失。</w:t>
      </w:r>
    </w:p>
    <w:p w14:paraId="135FE257">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5、乙方未按本合同和投标文件中规定的服务承诺提供售后服务的，乙方应按本合同合计金额的1%向甲方支付违约金。</w:t>
      </w:r>
    </w:p>
    <w:p w14:paraId="0732633A">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6、乙方提供的产品在质量保证期内，因设计、工艺或材料的缺陷和其它质量原因造成的问题，由乙方负责。</w:t>
      </w:r>
    </w:p>
    <w:p w14:paraId="242D3D50">
      <w:pPr>
        <w:autoSpaceDE w:val="0"/>
        <w:autoSpaceDN w:val="0"/>
        <w:spacing w:line="360" w:lineRule="auto"/>
        <w:rPr>
          <w:rFonts w:hint="eastAsia" w:asciiTheme="minorEastAsia" w:hAnsiTheme="minorEastAsia" w:eastAsiaTheme="minorEastAsia" w:cstheme="minorEastAsia"/>
          <w:sz w:val="21"/>
          <w:szCs w:val="21"/>
        </w:rPr>
      </w:pPr>
      <w:bookmarkStart w:id="902" w:name="_Toc29901"/>
      <w:bookmarkStart w:id="903" w:name="_Toc8527_WPSOffice_Level3"/>
      <w:r>
        <w:rPr>
          <w:rFonts w:hint="eastAsia" w:asciiTheme="minorEastAsia" w:hAnsiTheme="minorEastAsia" w:eastAsiaTheme="minorEastAsia" w:cstheme="minorEastAsia"/>
          <w:sz w:val="21"/>
          <w:szCs w:val="21"/>
        </w:rPr>
        <w:t>八、不可抗力</w:t>
      </w:r>
      <w:bookmarkEnd w:id="902"/>
      <w:bookmarkEnd w:id="903"/>
    </w:p>
    <w:p w14:paraId="07C22170">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不可抗力使合同的某些内容有变更必要的，双方应通过协商在 20 天内达成进一步履行合同的协议，因不可抗力致使合同不能履行的，合同终止。</w:t>
      </w:r>
    </w:p>
    <w:p w14:paraId="4516C39C">
      <w:pPr>
        <w:autoSpaceDE w:val="0"/>
        <w:autoSpaceDN w:val="0"/>
        <w:spacing w:line="360" w:lineRule="auto"/>
        <w:rPr>
          <w:rFonts w:hint="eastAsia" w:asciiTheme="minorEastAsia" w:hAnsiTheme="minorEastAsia" w:eastAsiaTheme="minorEastAsia" w:cstheme="minorEastAsia"/>
          <w:sz w:val="21"/>
          <w:szCs w:val="21"/>
        </w:rPr>
      </w:pPr>
      <w:bookmarkStart w:id="904" w:name="_Toc2226_WPSOffice_Level3"/>
      <w:bookmarkStart w:id="905" w:name="_Toc18672"/>
      <w:r>
        <w:rPr>
          <w:rFonts w:hint="eastAsia" w:asciiTheme="minorEastAsia" w:hAnsiTheme="minorEastAsia" w:eastAsiaTheme="minorEastAsia" w:cstheme="minorEastAsia"/>
          <w:sz w:val="21"/>
          <w:szCs w:val="21"/>
        </w:rPr>
        <w:t>九、其他约定：</w:t>
      </w:r>
      <w:bookmarkEnd w:id="904"/>
      <w:bookmarkEnd w:id="905"/>
      <w:r>
        <w:rPr>
          <w:rFonts w:hint="eastAsia" w:asciiTheme="minorEastAsia" w:hAnsiTheme="minorEastAsia" w:eastAsiaTheme="minorEastAsia" w:cstheme="minorEastAsia"/>
          <w:sz w:val="21"/>
          <w:szCs w:val="21"/>
          <w:u w:val="single"/>
        </w:rPr>
        <w:t xml:space="preserve">   无    </w:t>
      </w:r>
    </w:p>
    <w:p w14:paraId="493CD3B7">
      <w:pPr>
        <w:autoSpaceDE w:val="0"/>
        <w:autoSpaceDN w:val="0"/>
        <w:spacing w:line="360" w:lineRule="auto"/>
        <w:rPr>
          <w:rFonts w:hint="eastAsia" w:asciiTheme="minorEastAsia" w:hAnsiTheme="minorEastAsia" w:eastAsiaTheme="minorEastAsia" w:cstheme="minorEastAsia"/>
          <w:sz w:val="21"/>
          <w:szCs w:val="21"/>
        </w:rPr>
      </w:pPr>
      <w:bookmarkStart w:id="906" w:name="_Toc22814"/>
      <w:bookmarkStart w:id="907" w:name="_Toc15637_WPSOffice_Level3"/>
      <w:r>
        <w:rPr>
          <w:rFonts w:hint="eastAsia" w:asciiTheme="minorEastAsia" w:hAnsiTheme="minorEastAsia" w:eastAsiaTheme="minorEastAsia" w:cstheme="minorEastAsia"/>
          <w:sz w:val="21"/>
          <w:szCs w:val="21"/>
        </w:rPr>
        <w:t>十、合同争议解决</w:t>
      </w:r>
      <w:bookmarkEnd w:id="906"/>
      <w:bookmarkEnd w:id="907"/>
    </w:p>
    <w:p w14:paraId="47D65622">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因履行本合同引起的或与本合同有关的争议，甲乙双方应首先通过友好协商解决，如果协商不能解决，可向甲方所在地仲裁委员会申请仲裁或向甲方所在地人民法院提起诉讼。</w:t>
      </w:r>
    </w:p>
    <w:p w14:paraId="16832BB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诉讼期间，本合同继续履行。</w:t>
      </w:r>
    </w:p>
    <w:p w14:paraId="383A4569">
      <w:pPr>
        <w:autoSpaceDE w:val="0"/>
        <w:autoSpaceDN w:val="0"/>
        <w:spacing w:line="360" w:lineRule="auto"/>
        <w:rPr>
          <w:rFonts w:hint="eastAsia" w:asciiTheme="minorEastAsia" w:hAnsiTheme="minorEastAsia" w:eastAsiaTheme="minorEastAsia" w:cstheme="minorEastAsia"/>
          <w:sz w:val="21"/>
          <w:szCs w:val="21"/>
        </w:rPr>
      </w:pPr>
      <w:bookmarkStart w:id="908" w:name="_Toc10175"/>
      <w:bookmarkStart w:id="909" w:name="_Toc15915_WPSOffice_Level3"/>
      <w:r>
        <w:rPr>
          <w:rFonts w:hint="eastAsia" w:asciiTheme="minorEastAsia" w:hAnsiTheme="minorEastAsia" w:eastAsiaTheme="minorEastAsia" w:cstheme="minorEastAsia"/>
          <w:sz w:val="21"/>
          <w:szCs w:val="21"/>
        </w:rPr>
        <w:t>十一、合同生效及其它：</w:t>
      </w:r>
      <w:bookmarkEnd w:id="908"/>
      <w:bookmarkEnd w:id="909"/>
    </w:p>
    <w:p w14:paraId="62731428">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1、本合同一式</w:t>
      </w:r>
      <w:r>
        <w:rPr>
          <w:rFonts w:hint="eastAsia" w:asciiTheme="minorEastAsia" w:hAnsiTheme="minorEastAsia" w:eastAsiaTheme="minorEastAsia" w:cstheme="minorEastAsia"/>
          <w:sz w:val="21"/>
          <w:szCs w:val="21"/>
          <w:u w:val="single"/>
        </w:rPr>
        <w:t xml:space="preserve">  六  </w:t>
      </w:r>
      <w:r>
        <w:rPr>
          <w:rFonts w:hint="eastAsia" w:asciiTheme="minorEastAsia" w:hAnsiTheme="minorEastAsia" w:eastAsiaTheme="minorEastAsia" w:cstheme="minorEastAsia"/>
          <w:sz w:val="21"/>
          <w:szCs w:val="21"/>
        </w:rPr>
        <w:t>份，经双方签字，并加盖公章即为生效。</w:t>
      </w:r>
    </w:p>
    <w:p w14:paraId="4153A2CB">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2、本合同未尽事宜，按经济合同法有关规定处理。</w:t>
      </w:r>
    </w:p>
    <w:p w14:paraId="3D285EB1">
      <w:pPr>
        <w:autoSpaceDE w:val="0"/>
        <w:autoSpaceDN w:val="0"/>
        <w:spacing w:line="360" w:lineRule="auto"/>
        <w:ind w:firstLine="360"/>
        <w:rPr>
          <w:rFonts w:hint="eastAsia" w:asciiTheme="minorEastAsia" w:hAnsiTheme="minorEastAsia" w:eastAsiaTheme="minorEastAsia" w:cstheme="minorEastAsia"/>
          <w:sz w:val="21"/>
          <w:szCs w:val="21"/>
        </w:rPr>
      </w:pPr>
    </w:p>
    <w:p w14:paraId="72993DA0">
      <w:pPr>
        <w:pStyle w:val="28"/>
        <w:rPr>
          <w:rFonts w:hint="eastAsia" w:asciiTheme="minorEastAsia" w:hAnsiTheme="minorEastAsia" w:eastAsiaTheme="minorEastAsia" w:cstheme="minorEastAsia"/>
          <w:sz w:val="21"/>
          <w:szCs w:val="21"/>
        </w:rPr>
      </w:pPr>
    </w:p>
    <w:p w14:paraId="30F616BC">
      <w:pPr>
        <w:pStyle w:val="111"/>
        <w:rPr>
          <w:rFonts w:hint="eastAsia" w:asciiTheme="minorEastAsia" w:hAnsiTheme="minorEastAsia" w:eastAsiaTheme="minorEastAsia" w:cstheme="minorEastAsia"/>
          <w:sz w:val="21"/>
          <w:szCs w:val="21"/>
        </w:rPr>
      </w:pPr>
    </w:p>
    <w:tbl>
      <w:tblPr>
        <w:tblStyle w:val="3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98"/>
        <w:gridCol w:w="2802"/>
        <w:gridCol w:w="2300"/>
        <w:gridCol w:w="2460"/>
      </w:tblGrid>
      <w:tr w14:paraId="736EB5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noWrap w:val="0"/>
            <w:vAlign w:val="center"/>
          </w:tcPr>
          <w:p w14:paraId="17EEAD36">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甲方（采购人）</w:t>
            </w:r>
          </w:p>
        </w:tc>
        <w:tc>
          <w:tcPr>
            <w:tcW w:w="2438" w:type="pct"/>
            <w:gridSpan w:val="2"/>
            <w:tcBorders>
              <w:left w:val="single" w:color="auto" w:sz="2" w:space="0"/>
              <w:bottom w:val="single" w:color="auto" w:sz="2" w:space="0"/>
            </w:tcBorders>
            <w:noWrap w:val="0"/>
            <w:vAlign w:val="center"/>
          </w:tcPr>
          <w:p w14:paraId="0A4EF50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乙方（供应商）</w:t>
            </w:r>
          </w:p>
        </w:tc>
      </w:tr>
      <w:tr w14:paraId="7A7D41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20F46CB3">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单位名称（公章</w:t>
            </w:r>
            <w:r>
              <w:rPr>
                <w:rFonts w:hint="eastAsia" w:asciiTheme="minorEastAsia" w:hAnsiTheme="minorEastAsia" w:eastAsiaTheme="minorEastAsia" w:cstheme="minorEastAsia"/>
                <w:sz w:val="21"/>
                <w:szCs w:val="21"/>
                <w:lang w:eastAsia="zh-CN"/>
              </w:rPr>
              <w:t>或合同章</w:t>
            </w:r>
            <w:r>
              <w:rPr>
                <w:rFonts w:hint="eastAsia" w:asciiTheme="minorEastAsia" w:hAnsiTheme="minorEastAsia" w:eastAsiaTheme="minorEastAsia" w:cstheme="minorEastAsia"/>
                <w:sz w:val="21"/>
                <w:szCs w:val="21"/>
              </w:rPr>
              <w:t>）</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3B431D28">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A25F056">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单位名称（公章</w:t>
            </w:r>
            <w:r>
              <w:rPr>
                <w:rFonts w:hint="eastAsia" w:asciiTheme="minorEastAsia" w:hAnsiTheme="minorEastAsia" w:eastAsiaTheme="minorEastAsia" w:cstheme="minorEastAsia"/>
                <w:sz w:val="21"/>
                <w:szCs w:val="21"/>
                <w:lang w:eastAsia="zh-CN"/>
              </w:rPr>
              <w:t>或合同章</w:t>
            </w:r>
            <w:r>
              <w:rPr>
                <w:rFonts w:hint="eastAsia" w:asciiTheme="minorEastAsia" w:hAnsiTheme="minorEastAsia" w:eastAsiaTheme="minorEastAsia" w:cstheme="minorEastAsia"/>
                <w:sz w:val="21"/>
                <w:szCs w:val="21"/>
              </w:rPr>
              <w:t>）</w:t>
            </w:r>
          </w:p>
        </w:tc>
        <w:tc>
          <w:tcPr>
            <w:tcW w:w="1260" w:type="pct"/>
            <w:tcBorders>
              <w:top w:val="single" w:color="auto" w:sz="2" w:space="0"/>
              <w:left w:val="single" w:color="auto" w:sz="2" w:space="0"/>
              <w:bottom w:val="single" w:color="auto" w:sz="2" w:space="0"/>
            </w:tcBorders>
            <w:noWrap w:val="0"/>
            <w:vAlign w:val="center"/>
          </w:tcPr>
          <w:p w14:paraId="7FDF6C50">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4B311C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CEF217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p w14:paraId="35E9918C">
            <w:pPr>
              <w:adjustRightInd w:val="0"/>
              <w:snapToGrid w:val="0"/>
              <w:spacing w:line="300" w:lineRule="exact"/>
              <w:ind w:firstLine="100" w:firstLineChars="48"/>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或其委托代理人（签章）</w:t>
            </w:r>
          </w:p>
        </w:tc>
        <w:tc>
          <w:tcPr>
            <w:tcW w:w="1435" w:type="pct"/>
            <w:vMerge w:val="restart"/>
            <w:tcBorders>
              <w:top w:val="single" w:color="auto" w:sz="2" w:space="0"/>
              <w:left w:val="single" w:color="auto" w:sz="2" w:space="0"/>
              <w:right w:val="single" w:color="auto" w:sz="2" w:space="0"/>
            </w:tcBorders>
            <w:noWrap w:val="0"/>
            <w:vAlign w:val="center"/>
          </w:tcPr>
          <w:p w14:paraId="3277845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right w:val="single" w:color="auto" w:sz="2" w:space="0"/>
            </w:tcBorders>
            <w:noWrap w:val="0"/>
            <w:vAlign w:val="center"/>
          </w:tcPr>
          <w:p w14:paraId="59FC46D4">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p w14:paraId="6B070928">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或其委托代理人（签章）</w:t>
            </w:r>
          </w:p>
        </w:tc>
        <w:tc>
          <w:tcPr>
            <w:tcW w:w="1260" w:type="pct"/>
            <w:tcBorders>
              <w:top w:val="single" w:color="auto" w:sz="2" w:space="0"/>
              <w:left w:val="single" w:color="auto" w:sz="2" w:space="0"/>
              <w:bottom w:val="single" w:color="auto" w:sz="2" w:space="0"/>
            </w:tcBorders>
            <w:noWrap w:val="0"/>
            <w:vAlign w:val="center"/>
          </w:tcPr>
          <w:p w14:paraId="28413C70">
            <w:pPr>
              <w:adjustRightInd w:val="0"/>
              <w:snapToGrid w:val="0"/>
              <w:spacing w:line="300" w:lineRule="exact"/>
              <w:jc w:val="center"/>
              <w:rPr>
                <w:rFonts w:hint="eastAsia" w:asciiTheme="minorEastAsia" w:hAnsiTheme="minorEastAsia" w:eastAsiaTheme="minorEastAsia" w:cstheme="minorEastAsia"/>
                <w:sz w:val="21"/>
                <w:szCs w:val="21"/>
              </w:rPr>
            </w:pPr>
          </w:p>
        </w:tc>
      </w:tr>
      <w:tr w14:paraId="6F68C3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5E1ECEFA">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vMerge w:val="continue"/>
            <w:tcBorders>
              <w:left w:val="single" w:color="auto" w:sz="2" w:space="0"/>
              <w:bottom w:val="single" w:color="auto" w:sz="2" w:space="0"/>
              <w:right w:val="single" w:color="auto" w:sz="2" w:space="0"/>
            </w:tcBorders>
            <w:noWrap w:val="0"/>
            <w:vAlign w:val="center"/>
          </w:tcPr>
          <w:p w14:paraId="336A87C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35D1DEE">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拥有者性别</w:t>
            </w:r>
          </w:p>
        </w:tc>
        <w:tc>
          <w:tcPr>
            <w:tcW w:w="1260" w:type="pct"/>
            <w:tcBorders>
              <w:top w:val="single" w:color="auto" w:sz="2" w:space="0"/>
              <w:left w:val="single" w:color="auto" w:sz="2" w:space="0"/>
              <w:bottom w:val="single" w:color="auto" w:sz="2" w:space="0"/>
            </w:tcBorders>
            <w:noWrap w:val="0"/>
            <w:vAlign w:val="center"/>
          </w:tcPr>
          <w:p w14:paraId="66E2782B">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705B9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209D9C8">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住</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eastAsia="zh-CN"/>
              </w:rPr>
              <w:t>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92DBADE">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E3BD1C1">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住</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eastAsia="zh-CN"/>
              </w:rPr>
              <w:t>所</w:t>
            </w:r>
          </w:p>
        </w:tc>
        <w:tc>
          <w:tcPr>
            <w:tcW w:w="1260" w:type="pct"/>
            <w:tcBorders>
              <w:top w:val="single" w:color="auto" w:sz="2" w:space="0"/>
              <w:left w:val="single" w:color="auto" w:sz="2" w:space="0"/>
              <w:bottom w:val="single" w:color="auto" w:sz="2" w:space="0"/>
            </w:tcBorders>
            <w:noWrap w:val="0"/>
            <w:vAlign w:val="center"/>
          </w:tcPr>
          <w:p w14:paraId="28A206EB">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5A76FA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7311B95">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 系 人</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17C5B3D">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5D75A6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 系 人</w:t>
            </w:r>
          </w:p>
        </w:tc>
        <w:tc>
          <w:tcPr>
            <w:tcW w:w="1260" w:type="pct"/>
            <w:tcBorders>
              <w:top w:val="single" w:color="auto" w:sz="2" w:space="0"/>
              <w:left w:val="single" w:color="auto" w:sz="2" w:space="0"/>
              <w:bottom w:val="single" w:color="auto" w:sz="2" w:space="0"/>
            </w:tcBorders>
            <w:noWrap w:val="0"/>
            <w:vAlign w:val="center"/>
          </w:tcPr>
          <w:p w14:paraId="1CAF83C9">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306989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DA11E5">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6B777C25">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81CBD99">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tc>
        <w:tc>
          <w:tcPr>
            <w:tcW w:w="1260" w:type="pct"/>
            <w:tcBorders>
              <w:top w:val="single" w:color="auto" w:sz="2" w:space="0"/>
              <w:left w:val="single" w:color="auto" w:sz="2" w:space="0"/>
              <w:bottom w:val="single" w:color="auto" w:sz="2" w:space="0"/>
            </w:tcBorders>
            <w:noWrap w:val="0"/>
            <w:vAlign w:val="center"/>
          </w:tcPr>
          <w:p w14:paraId="2F3880D7">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528851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2AB580D">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通信地址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73F8180">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0421D3B">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通信地址</w:t>
            </w:r>
          </w:p>
        </w:tc>
        <w:tc>
          <w:tcPr>
            <w:tcW w:w="1260" w:type="pct"/>
            <w:tcBorders>
              <w:top w:val="single" w:color="auto" w:sz="2" w:space="0"/>
              <w:left w:val="single" w:color="auto" w:sz="2" w:space="0"/>
              <w:bottom w:val="single" w:color="auto" w:sz="2" w:space="0"/>
            </w:tcBorders>
            <w:noWrap w:val="0"/>
            <w:vAlign w:val="center"/>
          </w:tcPr>
          <w:p w14:paraId="6C25EFD3">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4959E2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47862D3">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4B530C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1FF9F51">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p>
        </w:tc>
        <w:tc>
          <w:tcPr>
            <w:tcW w:w="1260" w:type="pct"/>
            <w:tcBorders>
              <w:top w:val="single" w:color="auto" w:sz="2" w:space="0"/>
              <w:left w:val="single" w:color="auto" w:sz="2" w:space="0"/>
              <w:bottom w:val="single" w:color="auto" w:sz="2" w:space="0"/>
            </w:tcBorders>
            <w:noWrap w:val="0"/>
            <w:vAlign w:val="center"/>
          </w:tcPr>
          <w:p w14:paraId="356FBE37">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60BB5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B842748">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电子邮箱</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5A190D24">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04E6ED2">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电子邮箱</w:t>
            </w:r>
          </w:p>
        </w:tc>
        <w:tc>
          <w:tcPr>
            <w:tcW w:w="1260" w:type="pct"/>
            <w:tcBorders>
              <w:top w:val="single" w:color="auto" w:sz="2" w:space="0"/>
              <w:left w:val="single" w:color="auto" w:sz="2" w:space="0"/>
              <w:bottom w:val="single" w:color="auto" w:sz="2" w:space="0"/>
            </w:tcBorders>
            <w:noWrap w:val="0"/>
            <w:vAlign w:val="center"/>
          </w:tcPr>
          <w:p w14:paraId="3E6D58CE">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75F25B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AC20F5B">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9B4D450">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5002A0C">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1260" w:type="pct"/>
            <w:tcBorders>
              <w:top w:val="single" w:color="auto" w:sz="2" w:space="0"/>
              <w:left w:val="single" w:color="auto" w:sz="2" w:space="0"/>
              <w:bottom w:val="single" w:color="auto" w:sz="2" w:space="0"/>
            </w:tcBorders>
            <w:noWrap w:val="0"/>
            <w:vAlign w:val="center"/>
          </w:tcPr>
          <w:p w14:paraId="21EC9714">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A1D56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6A383FE">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5C65127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6E420D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开户名称</w:t>
            </w:r>
          </w:p>
        </w:tc>
        <w:tc>
          <w:tcPr>
            <w:tcW w:w="1260" w:type="pct"/>
            <w:tcBorders>
              <w:top w:val="single" w:color="auto" w:sz="2" w:space="0"/>
              <w:left w:val="single" w:color="auto" w:sz="2" w:space="0"/>
              <w:bottom w:val="single" w:color="auto" w:sz="2" w:space="0"/>
            </w:tcBorders>
            <w:noWrap w:val="0"/>
            <w:vAlign w:val="center"/>
          </w:tcPr>
          <w:p w14:paraId="189D73B2">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2BA56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2CBA0C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B6FD833">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3DEC454">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p>
        </w:tc>
        <w:tc>
          <w:tcPr>
            <w:tcW w:w="1260" w:type="pct"/>
            <w:tcBorders>
              <w:top w:val="single" w:color="auto" w:sz="2" w:space="0"/>
              <w:left w:val="single" w:color="auto" w:sz="2" w:space="0"/>
              <w:bottom w:val="single" w:color="auto" w:sz="2" w:space="0"/>
            </w:tcBorders>
            <w:noWrap w:val="0"/>
            <w:vAlign w:val="center"/>
          </w:tcPr>
          <w:p w14:paraId="462FFEB6">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0B0F525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EB352D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3B888098">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20F2470">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w:t>
            </w:r>
          </w:p>
        </w:tc>
        <w:tc>
          <w:tcPr>
            <w:tcW w:w="1260" w:type="pct"/>
            <w:tcBorders>
              <w:top w:val="single" w:color="auto" w:sz="2" w:space="0"/>
              <w:left w:val="single" w:color="auto" w:sz="2" w:space="0"/>
              <w:bottom w:val="single" w:color="auto" w:sz="2" w:space="0"/>
            </w:tcBorders>
            <w:noWrap w:val="0"/>
            <w:vAlign w:val="center"/>
          </w:tcPr>
          <w:p w14:paraId="45BC0D8D">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bl>
    <w:p w14:paraId="54D1B4F6">
      <w:pPr>
        <w:autoSpaceDE w:val="0"/>
        <w:autoSpaceDN w:val="0"/>
        <w:adjustRightInd w:val="0"/>
        <w:spacing w:line="360" w:lineRule="auto"/>
        <w:jc w:val="left"/>
        <w:rPr>
          <w:rFonts w:ascii="宋体" w:hAnsi="宋体" w:cs="宋体"/>
          <w:b/>
          <w:bCs/>
          <w:kern w:val="0"/>
          <w:sz w:val="28"/>
          <w:szCs w:val="28"/>
          <w:lang w:val="zh-CN"/>
        </w:rPr>
      </w:pPr>
      <w:r>
        <w:rPr>
          <w:rFonts w:hint="eastAsia" w:ascii="宋体" w:hAnsi="宋体" w:cs="宋体"/>
          <w:sz w:val="28"/>
          <w:szCs w:val="28"/>
          <w:lang w:val="zh-CN"/>
        </w:rPr>
        <w:br w:type="page"/>
      </w:r>
    </w:p>
    <w:p w14:paraId="537BDDCB">
      <w:pPr>
        <w:spacing w:line="360" w:lineRule="auto"/>
        <w:jc w:val="center"/>
        <w:outlineLvl w:val="0"/>
        <w:rPr>
          <w:rFonts w:ascii="宋体" w:hAnsi="宋体" w:cs="宋体"/>
          <w:sz w:val="36"/>
          <w:szCs w:val="36"/>
        </w:rPr>
      </w:pPr>
      <w:bookmarkStart w:id="910" w:name="_Toc20437"/>
      <w:bookmarkStart w:id="911" w:name="_Toc17178"/>
      <w:bookmarkStart w:id="912" w:name="_Toc22470_WPSOffice_Level1"/>
      <w:bookmarkStart w:id="913" w:name="_Toc31666"/>
      <w:bookmarkStart w:id="914" w:name="_Toc5893"/>
      <w:bookmarkStart w:id="915" w:name="_Toc29170"/>
      <w:bookmarkStart w:id="916" w:name="_Toc17834"/>
      <w:bookmarkStart w:id="917" w:name="_Toc8637"/>
      <w:bookmarkStart w:id="918" w:name="_Toc16448"/>
      <w:bookmarkStart w:id="919" w:name="_Toc4955"/>
      <w:bookmarkStart w:id="920" w:name="_Toc28480"/>
      <w:bookmarkStart w:id="921" w:name="_Toc14792"/>
      <w:bookmarkStart w:id="922" w:name="_Toc12130"/>
      <w:bookmarkStart w:id="923" w:name="_Toc28994"/>
      <w:bookmarkStart w:id="924" w:name="_Toc23387_WPSOffice_Level1"/>
      <w:bookmarkStart w:id="925" w:name="_Toc4668"/>
      <w:bookmarkStart w:id="926" w:name="_Toc27840"/>
      <w:bookmarkStart w:id="927" w:name="_Toc6422"/>
      <w:bookmarkStart w:id="928" w:name="_Toc22284"/>
      <w:bookmarkStart w:id="929" w:name="_Toc25729"/>
      <w:bookmarkStart w:id="930" w:name="_Toc20031"/>
      <w:bookmarkStart w:id="931" w:name="_Toc22582"/>
      <w:bookmarkStart w:id="932" w:name="_Toc3285"/>
      <w:bookmarkStart w:id="933" w:name="_Toc4339"/>
      <w:r>
        <w:rPr>
          <w:rFonts w:hint="eastAsia" w:ascii="宋体" w:hAnsi="宋体" w:cs="宋体"/>
          <w:b/>
          <w:bCs/>
          <w:sz w:val="36"/>
          <w:szCs w:val="36"/>
          <w:lang w:val="zh-CN"/>
        </w:rPr>
        <w:t xml:space="preserve">第四部分  </w:t>
      </w:r>
      <w:bookmarkEnd w:id="910"/>
      <w:bookmarkStart w:id="934" w:name="_Toc21530"/>
      <w:r>
        <w:rPr>
          <w:rFonts w:hint="eastAsia" w:ascii="宋体" w:hAnsi="宋体" w:cs="宋体"/>
          <w:b/>
          <w:bCs/>
          <w:sz w:val="36"/>
          <w:szCs w:val="36"/>
          <w:lang w:val="zh-CN"/>
        </w:rPr>
        <w:t>投标文件格式</w:t>
      </w:r>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14:paraId="18DEA024">
      <w:pPr>
        <w:rPr>
          <w:rFonts w:ascii="宋体" w:hAnsi="宋体" w:cs="宋体"/>
        </w:rPr>
      </w:pPr>
      <w:r>
        <w:rPr>
          <w:rFonts w:hint="eastAsia" w:ascii="宋体" w:hAnsi="宋体" w:cs="宋体"/>
        </w:rPr>
        <w:t>封面格式</w:t>
      </w:r>
    </w:p>
    <w:p w14:paraId="70817BE6">
      <w:pPr>
        <w:rPr>
          <w:rFonts w:ascii="宋体" w:hAnsi="宋体" w:cs="宋体"/>
        </w:rPr>
      </w:pPr>
    </w:p>
    <w:p w14:paraId="1F9E0694">
      <w:pPr>
        <w:jc w:val="right"/>
        <w:rPr>
          <w:rFonts w:ascii="宋体" w:hAnsi="宋体" w:cs="宋体"/>
          <w:sz w:val="30"/>
          <w:szCs w:val="30"/>
        </w:rPr>
      </w:pPr>
      <w:bookmarkStart w:id="935" w:name="_Toc5338"/>
      <w:bookmarkStart w:id="936" w:name="_Toc6986_WPSOffice_Level2"/>
      <w:bookmarkStart w:id="937" w:name="_Toc30220"/>
      <w:bookmarkStart w:id="938" w:name="_Toc9913_WPSOffice_Level2"/>
      <w:bookmarkStart w:id="939" w:name="_Toc23030"/>
      <w:bookmarkStart w:id="940" w:name="_Toc30722_WPSOffice_Level2"/>
    </w:p>
    <w:bookmarkEnd w:id="935"/>
    <w:bookmarkEnd w:id="936"/>
    <w:bookmarkEnd w:id="937"/>
    <w:bookmarkEnd w:id="938"/>
    <w:bookmarkEnd w:id="939"/>
    <w:bookmarkEnd w:id="940"/>
    <w:p w14:paraId="0D6A3020">
      <w:pPr>
        <w:spacing w:line="360" w:lineRule="auto"/>
        <w:rPr>
          <w:rFonts w:hint="eastAsia" w:ascii="宋体" w:hAnsi="宋体" w:eastAsia="宋体" w:cs="宋体"/>
          <w:b/>
          <w:sz w:val="32"/>
          <w:szCs w:val="32"/>
        </w:rPr>
      </w:pPr>
    </w:p>
    <w:p w14:paraId="3F3FDE6F">
      <w:pPr>
        <w:pStyle w:val="28"/>
        <w:ind w:firstLine="0"/>
        <w:jc w:val="center"/>
        <w:rPr>
          <w:rFonts w:hint="eastAsia" w:eastAsia="楷体_GB2312"/>
          <w:sz w:val="24"/>
          <w:lang w:eastAsia="zh-CN"/>
        </w:rPr>
      </w:pPr>
      <w:r>
        <w:rPr>
          <w:rFonts w:hint="eastAsia" w:ascii="宋体" w:hAnsi="宋体" w:eastAsia="宋体" w:cs="宋体"/>
          <w:b/>
          <w:sz w:val="40"/>
          <w:szCs w:val="40"/>
          <w:lang w:eastAsia="zh-CN"/>
        </w:rPr>
        <w:t>平顶山市湛河区教育体育局心理咨询室设备采购项目</w:t>
      </w:r>
    </w:p>
    <w:p w14:paraId="0B67E480">
      <w:pPr>
        <w:pStyle w:val="28"/>
        <w:ind w:firstLine="0"/>
        <w:jc w:val="center"/>
        <w:rPr>
          <w:sz w:val="24"/>
        </w:rPr>
      </w:pPr>
    </w:p>
    <w:p w14:paraId="191229C0">
      <w:pPr>
        <w:pStyle w:val="29"/>
        <w:ind w:left="480" w:firstLine="480"/>
      </w:pPr>
    </w:p>
    <w:p w14:paraId="177DE8A7">
      <w:pPr>
        <w:pStyle w:val="28"/>
        <w:ind w:firstLine="0"/>
        <w:jc w:val="center"/>
        <w:rPr>
          <w:sz w:val="24"/>
        </w:rPr>
      </w:pPr>
    </w:p>
    <w:p w14:paraId="6E8117C3">
      <w:pPr>
        <w:spacing w:line="360" w:lineRule="auto"/>
        <w:jc w:val="center"/>
        <w:rPr>
          <w:rFonts w:ascii="宋体" w:hAnsi="宋体" w:cs="宋体"/>
          <w:b/>
          <w:sz w:val="84"/>
          <w:szCs w:val="84"/>
        </w:rPr>
      </w:pPr>
      <w:bookmarkStart w:id="941" w:name="_Toc30034"/>
      <w:bookmarkStart w:id="942" w:name="_Toc32763_WPSOffice_Level3"/>
      <w:bookmarkStart w:id="943" w:name="_Toc15016"/>
      <w:r>
        <w:rPr>
          <w:rFonts w:hint="eastAsia" w:ascii="宋体" w:hAnsi="宋体" w:cs="宋体"/>
          <w:b/>
          <w:sz w:val="84"/>
          <w:szCs w:val="84"/>
        </w:rPr>
        <w:t>投标文件</w:t>
      </w:r>
      <w:bookmarkEnd w:id="941"/>
      <w:bookmarkEnd w:id="942"/>
      <w:bookmarkEnd w:id="943"/>
    </w:p>
    <w:p w14:paraId="783D6675">
      <w:pPr>
        <w:spacing w:line="360" w:lineRule="auto"/>
        <w:rPr>
          <w:rFonts w:ascii="宋体" w:hAnsi="宋体" w:cs="宋体"/>
        </w:rPr>
      </w:pPr>
    </w:p>
    <w:p w14:paraId="4C0A9D0C">
      <w:pPr>
        <w:spacing w:line="360" w:lineRule="auto"/>
        <w:ind w:firstLine="2699" w:firstLineChars="896"/>
        <w:rPr>
          <w:rFonts w:ascii="宋体" w:hAnsi="宋体" w:cs="宋体"/>
          <w:b/>
          <w:sz w:val="30"/>
          <w:szCs w:val="30"/>
        </w:rPr>
      </w:pPr>
      <w:bookmarkStart w:id="944" w:name="_Toc3967_WPSOffice_Level3"/>
      <w:bookmarkStart w:id="945" w:name="_Toc13928"/>
      <w:r>
        <w:rPr>
          <w:rFonts w:hint="eastAsia" w:ascii="宋体" w:hAnsi="宋体" w:cs="宋体"/>
          <w:b/>
          <w:sz w:val="30"/>
          <w:szCs w:val="30"/>
        </w:rPr>
        <w:t>采购编号：</w:t>
      </w:r>
      <w:bookmarkEnd w:id="944"/>
      <w:bookmarkEnd w:id="945"/>
      <w:r>
        <w:rPr>
          <w:rFonts w:hint="eastAsia" w:ascii="宋体" w:hAnsi="宋体" w:cs="宋体"/>
          <w:b/>
          <w:sz w:val="30"/>
          <w:szCs w:val="30"/>
        </w:rPr>
        <w:t xml:space="preserve">  </w:t>
      </w:r>
    </w:p>
    <w:p w14:paraId="2510D0C3">
      <w:pPr>
        <w:spacing w:line="360" w:lineRule="auto"/>
        <w:rPr>
          <w:rFonts w:ascii="宋体" w:hAnsi="宋体" w:cs="宋体"/>
          <w:sz w:val="32"/>
          <w:szCs w:val="32"/>
        </w:rPr>
      </w:pPr>
    </w:p>
    <w:p w14:paraId="3E4AE570">
      <w:pPr>
        <w:spacing w:line="360" w:lineRule="auto"/>
        <w:rPr>
          <w:rFonts w:ascii="宋体" w:hAnsi="宋体" w:cs="宋体"/>
          <w:sz w:val="32"/>
          <w:szCs w:val="32"/>
        </w:rPr>
      </w:pPr>
    </w:p>
    <w:p w14:paraId="3248E9D7">
      <w:pPr>
        <w:spacing w:line="360" w:lineRule="auto"/>
        <w:rPr>
          <w:rFonts w:ascii="宋体" w:hAnsi="宋体" w:cs="宋体"/>
          <w:sz w:val="32"/>
          <w:szCs w:val="32"/>
        </w:rPr>
      </w:pPr>
    </w:p>
    <w:p w14:paraId="5C87052A">
      <w:pPr>
        <w:spacing w:line="360" w:lineRule="auto"/>
        <w:rPr>
          <w:rFonts w:ascii="宋体" w:hAnsi="宋体" w:cs="宋体"/>
          <w:sz w:val="32"/>
          <w:szCs w:val="32"/>
        </w:rPr>
      </w:pPr>
    </w:p>
    <w:p w14:paraId="5078B5F3">
      <w:pPr>
        <w:spacing w:line="360" w:lineRule="auto"/>
        <w:rPr>
          <w:rFonts w:ascii="宋体" w:hAnsi="宋体" w:cs="宋体"/>
          <w:sz w:val="32"/>
          <w:szCs w:val="32"/>
        </w:rPr>
      </w:pPr>
    </w:p>
    <w:p w14:paraId="221680BE"/>
    <w:p w14:paraId="5FE2B841"/>
    <w:p w14:paraId="3DC564CF">
      <w:pPr>
        <w:spacing w:line="360" w:lineRule="auto"/>
        <w:ind w:firstLine="1079" w:firstLineChars="336"/>
        <w:rPr>
          <w:rFonts w:ascii="宋体" w:hAnsi="宋体" w:cs="宋体"/>
          <w:b/>
          <w:sz w:val="32"/>
          <w:szCs w:val="32"/>
          <w:u w:val="single"/>
        </w:rPr>
      </w:pPr>
      <w:bookmarkStart w:id="946" w:name="_Toc503"/>
      <w:bookmarkStart w:id="947" w:name="_Toc32585_WPSOffice_Level3"/>
      <w:bookmarkStart w:id="948" w:name="_Toc17168"/>
      <w:r>
        <w:rPr>
          <w:rFonts w:hint="eastAsia" w:ascii="宋体" w:hAnsi="宋体" w:cs="宋体"/>
          <w:b/>
          <w:sz w:val="32"/>
          <w:szCs w:val="32"/>
          <w:lang w:eastAsia="zh-CN"/>
        </w:rPr>
        <w:t>供应商</w:t>
      </w:r>
      <w:r>
        <w:rPr>
          <w:rFonts w:hint="eastAsia" w:ascii="宋体" w:hAnsi="宋体" w:cs="宋体"/>
          <w:b/>
          <w:sz w:val="32"/>
          <w:szCs w:val="32"/>
        </w:rPr>
        <w:t xml:space="preserve"> ：</w:t>
      </w:r>
      <w:r>
        <w:rPr>
          <w:rFonts w:hint="eastAsia" w:ascii="宋体" w:hAnsi="宋体" w:cs="宋体"/>
          <w:b/>
          <w:sz w:val="32"/>
          <w:szCs w:val="32"/>
          <w:u w:val="single"/>
        </w:rPr>
        <w:t xml:space="preserve">                       （企业电子签章）</w:t>
      </w:r>
      <w:bookmarkEnd w:id="946"/>
      <w:bookmarkEnd w:id="947"/>
      <w:bookmarkEnd w:id="948"/>
    </w:p>
    <w:p w14:paraId="53D5B9C3">
      <w:pPr>
        <w:spacing w:line="360" w:lineRule="auto"/>
        <w:ind w:firstLine="806" w:firstLineChars="336"/>
        <w:rPr>
          <w:rFonts w:ascii="宋体" w:hAnsi="宋体" w:cs="宋体"/>
          <w:b/>
          <w:sz w:val="32"/>
          <w:szCs w:val="32"/>
        </w:rPr>
      </w:pPr>
      <w:r>
        <w:rPr>
          <w:rFonts w:hint="eastAsia" w:ascii="宋体" w:hAnsi="宋体" w:cs="宋体"/>
        </w:rPr>
        <w:t xml:space="preserve">   </w:t>
      </w:r>
      <w:bookmarkStart w:id="949" w:name="_Toc7695"/>
      <w:bookmarkStart w:id="950" w:name="_Toc2782_WPSOffice_Level3"/>
      <w:bookmarkStart w:id="951" w:name="_Toc10960"/>
      <w:r>
        <w:rPr>
          <w:rFonts w:hint="eastAsia" w:ascii="宋体" w:hAnsi="宋体" w:cs="宋体"/>
          <w:b/>
          <w:sz w:val="32"/>
          <w:szCs w:val="32"/>
        </w:rPr>
        <w:t>法定代表人或其授权代理人：</w:t>
      </w:r>
      <w:r>
        <w:rPr>
          <w:rFonts w:hint="eastAsia" w:ascii="宋体" w:hAnsi="宋体" w:cs="宋体"/>
          <w:b/>
          <w:sz w:val="32"/>
          <w:szCs w:val="32"/>
          <w:u w:val="single"/>
        </w:rPr>
        <w:t xml:space="preserve">     （电子签章）</w:t>
      </w:r>
      <w:bookmarkEnd w:id="949"/>
      <w:bookmarkEnd w:id="950"/>
      <w:bookmarkEnd w:id="951"/>
    </w:p>
    <w:p w14:paraId="41C0BF9C">
      <w:pPr>
        <w:spacing w:line="360" w:lineRule="auto"/>
        <w:ind w:firstLine="1079" w:firstLineChars="336"/>
        <w:rPr>
          <w:rFonts w:ascii="宋体" w:hAnsi="宋体" w:cs="宋体"/>
          <w:b/>
          <w:sz w:val="32"/>
          <w:szCs w:val="32"/>
        </w:rPr>
      </w:pPr>
      <w:bookmarkStart w:id="952" w:name="_Toc18462"/>
      <w:bookmarkStart w:id="953" w:name="_Toc30073_WPSOffice_Level3"/>
      <w:bookmarkStart w:id="954" w:name="_Toc4187"/>
      <w:r>
        <w:rPr>
          <w:rFonts w:hint="eastAsia" w:ascii="宋体" w:hAnsi="宋体" w:cs="宋体"/>
          <w:b/>
          <w:sz w:val="32"/>
          <w:szCs w:val="32"/>
        </w:rPr>
        <w:t>日  期：</w:t>
      </w:r>
      <w:r>
        <w:rPr>
          <w:rFonts w:hint="eastAsia" w:ascii="宋体" w:hAnsi="宋体" w:cs="宋体"/>
          <w:b/>
          <w:sz w:val="32"/>
          <w:szCs w:val="32"/>
          <w:u w:val="single"/>
        </w:rPr>
        <w:t xml:space="preserve">        </w:t>
      </w:r>
      <w:r>
        <w:rPr>
          <w:rFonts w:hint="eastAsia" w:ascii="宋体" w:hAnsi="宋体" w:cs="宋体"/>
          <w:b/>
          <w:sz w:val="32"/>
          <w:szCs w:val="32"/>
        </w:rPr>
        <w:t>年</w:t>
      </w:r>
      <w:r>
        <w:rPr>
          <w:rFonts w:hint="eastAsia" w:ascii="宋体" w:hAnsi="宋体" w:cs="宋体"/>
          <w:b/>
          <w:sz w:val="32"/>
          <w:szCs w:val="32"/>
          <w:u w:val="single"/>
        </w:rPr>
        <w:t xml:space="preserve">    </w:t>
      </w:r>
      <w:r>
        <w:rPr>
          <w:rFonts w:hint="eastAsia" w:ascii="宋体" w:hAnsi="宋体" w:cs="宋体"/>
          <w:b/>
          <w:sz w:val="32"/>
          <w:szCs w:val="32"/>
        </w:rPr>
        <w:t>月</w:t>
      </w:r>
      <w:r>
        <w:rPr>
          <w:rFonts w:hint="eastAsia" w:ascii="宋体" w:hAnsi="宋体" w:cs="宋体"/>
          <w:b/>
          <w:sz w:val="32"/>
          <w:szCs w:val="32"/>
          <w:u w:val="single"/>
        </w:rPr>
        <w:t xml:space="preserve">    </w:t>
      </w:r>
      <w:r>
        <w:rPr>
          <w:rFonts w:hint="eastAsia" w:ascii="宋体" w:hAnsi="宋体" w:cs="宋体"/>
          <w:b/>
          <w:sz w:val="32"/>
          <w:szCs w:val="32"/>
        </w:rPr>
        <w:t>日</w:t>
      </w:r>
      <w:bookmarkEnd w:id="952"/>
      <w:bookmarkEnd w:id="953"/>
      <w:bookmarkEnd w:id="954"/>
    </w:p>
    <w:p w14:paraId="18C85643">
      <w:pPr>
        <w:pStyle w:val="5"/>
        <w:ind w:firstLine="643"/>
        <w:jc w:val="center"/>
        <w:rPr>
          <w:rFonts w:ascii="宋体" w:hAnsi="宋体" w:cs="宋体"/>
          <w:b/>
          <w:sz w:val="32"/>
          <w:szCs w:val="32"/>
        </w:rPr>
      </w:pPr>
      <w:bookmarkStart w:id="955" w:name="_Toc26791"/>
      <w:bookmarkStart w:id="956" w:name="_Toc22145"/>
      <w:r>
        <w:rPr>
          <w:rFonts w:hint="eastAsia" w:ascii="宋体" w:hAnsi="宋体" w:cs="宋体"/>
          <w:b/>
          <w:sz w:val="32"/>
          <w:szCs w:val="32"/>
        </w:rPr>
        <w:t>目录</w:t>
      </w:r>
      <w:bookmarkEnd w:id="955"/>
      <w:bookmarkEnd w:id="956"/>
    </w:p>
    <w:p w14:paraId="47BC6427">
      <w:pPr>
        <w:jc w:val="center"/>
        <w:rPr>
          <w:rFonts w:ascii="宋体" w:hAnsi="宋体" w:cs="宋体"/>
        </w:rPr>
      </w:pPr>
      <w:r>
        <w:rPr>
          <w:rFonts w:hint="eastAsia" w:ascii="宋体" w:hAnsi="宋体" w:cs="宋体"/>
        </w:rPr>
        <w:t>（由</w:t>
      </w:r>
      <w:r>
        <w:rPr>
          <w:rFonts w:hint="eastAsia" w:ascii="宋体" w:hAnsi="宋体" w:cs="宋体"/>
          <w:lang w:eastAsia="zh-CN"/>
        </w:rPr>
        <w:t>供应商</w:t>
      </w:r>
      <w:r>
        <w:rPr>
          <w:rFonts w:hint="eastAsia" w:ascii="宋体" w:hAnsi="宋体" w:cs="宋体"/>
        </w:rPr>
        <w:t>制作投标文件时自行编制）</w:t>
      </w:r>
    </w:p>
    <w:p w14:paraId="782E97EA">
      <w:pPr>
        <w:rPr>
          <w:rFonts w:ascii="宋体" w:hAnsi="宋体" w:cs="宋体"/>
        </w:rPr>
      </w:pPr>
      <w:r>
        <w:rPr>
          <w:rFonts w:hint="eastAsia" w:ascii="宋体" w:hAnsi="宋体" w:cs="宋体"/>
        </w:rPr>
        <w:br w:type="page"/>
      </w:r>
    </w:p>
    <w:bookmarkEnd w:id="934"/>
    <w:p w14:paraId="5E08947B">
      <w:pPr>
        <w:pStyle w:val="4"/>
        <w:spacing w:line="380" w:lineRule="exact"/>
        <w:ind w:firstLine="562"/>
        <w:jc w:val="center"/>
        <w:rPr>
          <w:rFonts w:ascii="宋体" w:hAnsi="宋体" w:cs="宋体"/>
        </w:rPr>
      </w:pPr>
      <w:bookmarkStart w:id="957" w:name="_Toc193772320"/>
      <w:bookmarkStart w:id="958" w:name="_Toc15494"/>
      <w:bookmarkStart w:id="959" w:name="_Toc1501"/>
      <w:bookmarkStart w:id="960" w:name="_Toc18776"/>
      <w:bookmarkStart w:id="961" w:name="_Toc26758"/>
      <w:bookmarkStart w:id="962" w:name="_Toc3758"/>
      <w:bookmarkStart w:id="963" w:name="_Toc4414"/>
      <w:bookmarkStart w:id="964" w:name="_Toc18603"/>
      <w:bookmarkStart w:id="965" w:name="_Toc6860"/>
      <w:bookmarkStart w:id="966" w:name="_Toc25613"/>
      <w:bookmarkStart w:id="967" w:name="_Toc27817"/>
      <w:bookmarkStart w:id="968" w:name="_Toc23265"/>
      <w:bookmarkStart w:id="969" w:name="_Toc26435"/>
      <w:bookmarkStart w:id="970" w:name="_Toc4153"/>
      <w:bookmarkStart w:id="971" w:name="_Toc32077"/>
      <w:bookmarkStart w:id="972" w:name="_Toc27165"/>
      <w:bookmarkStart w:id="973" w:name="_Toc25994"/>
      <w:bookmarkStart w:id="974" w:name="_Toc26952"/>
      <w:bookmarkStart w:id="975" w:name="_Toc25261"/>
      <w:bookmarkStart w:id="976" w:name="_Toc2569"/>
      <w:bookmarkStart w:id="977" w:name="_Toc12205"/>
      <w:bookmarkStart w:id="978" w:name="_Toc20974_WPSOffice_Level3"/>
      <w:bookmarkStart w:id="979" w:name="_Toc20417"/>
      <w:bookmarkStart w:id="980" w:name="_Toc32115"/>
      <w:bookmarkStart w:id="981" w:name="_Toc8051"/>
      <w:bookmarkStart w:id="982" w:name="_Toc16893"/>
      <w:bookmarkStart w:id="983" w:name="_Toc4066"/>
      <w:bookmarkStart w:id="984" w:name="_Toc16830"/>
      <w:bookmarkStart w:id="985" w:name="_Toc24155"/>
      <w:bookmarkStart w:id="986" w:name="_Toc29403_WPSOffice_Level3"/>
      <w:bookmarkStart w:id="987" w:name="_Toc17401"/>
      <w:bookmarkStart w:id="988" w:name="_Toc20130"/>
      <w:bookmarkStart w:id="989" w:name="_Toc18370"/>
      <w:bookmarkStart w:id="990" w:name="_Toc30334"/>
      <w:bookmarkStart w:id="991" w:name="_Toc10549"/>
      <w:bookmarkStart w:id="992" w:name="_Toc7108"/>
      <w:bookmarkStart w:id="993" w:name="_Toc4197"/>
      <w:bookmarkStart w:id="994" w:name="_Toc19428"/>
      <w:bookmarkStart w:id="995" w:name="_Toc837"/>
      <w:bookmarkStart w:id="996" w:name="_Toc20916"/>
      <w:bookmarkStart w:id="997" w:name="_Toc10117"/>
      <w:bookmarkStart w:id="998" w:name="_Toc7007"/>
      <w:bookmarkStart w:id="999" w:name="_Toc13371"/>
      <w:bookmarkStart w:id="1000" w:name="_Toc14355"/>
      <w:bookmarkStart w:id="1001" w:name="_Toc17760"/>
      <w:bookmarkStart w:id="1002" w:name="_Toc1306"/>
      <w:bookmarkStart w:id="1003" w:name="_Toc16779"/>
      <w:bookmarkStart w:id="1004" w:name="_Toc11957"/>
      <w:r>
        <w:rPr>
          <w:rFonts w:hint="eastAsia" w:ascii="宋体" w:hAnsi="宋体" w:cs="宋体"/>
        </w:rPr>
        <w:t>一、</w:t>
      </w:r>
      <w:bookmarkEnd w:id="957"/>
      <w:r>
        <w:rPr>
          <w:rFonts w:hint="eastAsia" w:ascii="宋体" w:hAnsi="宋体" w:cs="宋体"/>
        </w:rPr>
        <w:t>投标函</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p w14:paraId="5FBA2518">
      <w:pPr>
        <w:spacing w:line="360" w:lineRule="auto"/>
        <w:rPr>
          <w:rFonts w:ascii="宋体" w:hAnsi="宋体" w:cs="宋体"/>
          <w:sz w:val="21"/>
          <w:szCs w:val="21"/>
          <w:u w:val="single"/>
        </w:rPr>
      </w:pPr>
      <w:r>
        <w:rPr>
          <w:rFonts w:hint="eastAsia" w:ascii="宋体" w:hAnsi="宋体" w:cs="宋体"/>
          <w:sz w:val="21"/>
          <w:szCs w:val="21"/>
        </w:rPr>
        <w:t>致：</w:t>
      </w:r>
      <w:r>
        <w:rPr>
          <w:rFonts w:hint="eastAsia" w:ascii="宋体" w:hAnsi="宋体" w:cs="宋体"/>
          <w:sz w:val="21"/>
          <w:szCs w:val="21"/>
          <w:u w:val="single"/>
        </w:rPr>
        <w:t>采购人</w:t>
      </w:r>
    </w:p>
    <w:p w14:paraId="17352797">
      <w:pPr>
        <w:spacing w:line="360" w:lineRule="auto"/>
        <w:ind w:right="-175" w:rightChars="-73" w:firstLine="420" w:firstLineChars="200"/>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u w:val="single"/>
          <w:lang w:eastAsia="zh-CN"/>
        </w:rPr>
        <w:t>供应商</w:t>
      </w:r>
      <w:r>
        <w:rPr>
          <w:rFonts w:hint="eastAsia" w:ascii="宋体" w:hAnsi="宋体" w:cs="宋体"/>
          <w:sz w:val="21"/>
          <w:szCs w:val="21"/>
          <w:u w:val="single"/>
        </w:rPr>
        <w:t xml:space="preserve">全称)   </w:t>
      </w:r>
      <w:r>
        <w:rPr>
          <w:rFonts w:hint="eastAsia" w:ascii="宋体" w:hAnsi="宋体" w:cs="宋体"/>
          <w:sz w:val="21"/>
          <w:szCs w:val="21"/>
        </w:rPr>
        <w:t>授权</w:t>
      </w:r>
      <w:r>
        <w:rPr>
          <w:rFonts w:hint="eastAsia" w:ascii="宋体" w:hAnsi="宋体" w:cs="宋体"/>
          <w:sz w:val="21"/>
          <w:szCs w:val="21"/>
          <w:u w:val="single"/>
        </w:rPr>
        <w:t xml:space="preserve">   (</w:t>
      </w:r>
      <w:r>
        <w:rPr>
          <w:rFonts w:hint="eastAsia" w:ascii="宋体" w:hAnsi="宋体" w:cs="宋体"/>
          <w:sz w:val="21"/>
          <w:szCs w:val="21"/>
          <w:u w:val="single"/>
          <w:lang w:eastAsia="zh-CN"/>
        </w:rPr>
        <w:t>供应商</w:t>
      </w:r>
      <w:r>
        <w:rPr>
          <w:rFonts w:hint="eastAsia" w:ascii="宋体" w:hAnsi="宋体" w:cs="宋体"/>
          <w:sz w:val="21"/>
          <w:szCs w:val="21"/>
          <w:u w:val="single"/>
        </w:rPr>
        <w:t xml:space="preserve">代表姓名)  </w:t>
      </w:r>
      <w:r>
        <w:rPr>
          <w:rFonts w:hint="eastAsia" w:ascii="宋体" w:hAnsi="宋体" w:cs="宋体"/>
          <w:sz w:val="21"/>
          <w:szCs w:val="21"/>
        </w:rPr>
        <w:t>为我方代表，参加贵方组织的</w:t>
      </w:r>
      <w:r>
        <w:rPr>
          <w:rFonts w:hint="eastAsia" w:ascii="宋体" w:hAnsi="宋体" w:cs="宋体"/>
          <w:sz w:val="21"/>
          <w:szCs w:val="21"/>
          <w:u w:val="single"/>
        </w:rPr>
        <w:t xml:space="preserve">  （项目名称）  </w:t>
      </w:r>
      <w:r>
        <w:rPr>
          <w:rFonts w:hint="eastAsia" w:ascii="宋体" w:hAnsi="宋体" w:cs="宋体"/>
          <w:sz w:val="21"/>
          <w:szCs w:val="21"/>
        </w:rPr>
        <w:t>的有关活动，并对此项目进行投标。为此：</w:t>
      </w:r>
    </w:p>
    <w:p w14:paraId="4261F75D">
      <w:pPr>
        <w:spacing w:line="360" w:lineRule="auto"/>
        <w:ind w:firstLine="420" w:firstLineChars="200"/>
        <w:rPr>
          <w:rFonts w:ascii="宋体" w:hAnsi="宋体" w:cs="宋体"/>
          <w:sz w:val="21"/>
          <w:szCs w:val="21"/>
        </w:rPr>
      </w:pPr>
      <w:r>
        <w:rPr>
          <w:rFonts w:hint="eastAsia" w:ascii="宋体" w:hAnsi="宋体" w:cs="宋体"/>
          <w:sz w:val="21"/>
          <w:szCs w:val="21"/>
        </w:rPr>
        <w:t>1.我方同意在本项目招标文件中规定的</w:t>
      </w:r>
      <w:r>
        <w:rPr>
          <w:rFonts w:hint="eastAsia" w:ascii="宋体" w:hAnsi="宋体" w:cs="宋体"/>
          <w:sz w:val="21"/>
          <w:szCs w:val="21"/>
          <w:u w:val="single"/>
        </w:rPr>
        <w:t xml:space="preserve">  90  </w:t>
      </w:r>
      <w:r>
        <w:rPr>
          <w:rFonts w:hint="eastAsia" w:ascii="宋体" w:hAnsi="宋体" w:cs="宋体"/>
          <w:sz w:val="21"/>
          <w:szCs w:val="21"/>
        </w:rPr>
        <w:t xml:space="preserve"> 日历天投标有效期内遵守本投标文件中的承诺且在此期限期满之前均具有约束力。</w:t>
      </w:r>
    </w:p>
    <w:p w14:paraId="0220A309">
      <w:pPr>
        <w:spacing w:line="360" w:lineRule="auto"/>
        <w:ind w:firstLine="420" w:firstLineChars="200"/>
        <w:rPr>
          <w:rFonts w:ascii="宋体" w:hAnsi="宋体" w:cs="宋体"/>
          <w:sz w:val="21"/>
          <w:szCs w:val="21"/>
        </w:rPr>
      </w:pPr>
      <w:r>
        <w:rPr>
          <w:rFonts w:hint="eastAsia" w:ascii="宋体" w:hAnsi="宋体" w:cs="宋体"/>
          <w:sz w:val="21"/>
          <w:szCs w:val="21"/>
        </w:rPr>
        <w:t>2.提供投标须知规定的投标文件并对之负法律责任。</w:t>
      </w:r>
    </w:p>
    <w:p w14:paraId="049FBDF9">
      <w:pPr>
        <w:spacing w:line="360" w:lineRule="auto"/>
        <w:ind w:firstLine="420" w:firstLineChars="200"/>
        <w:rPr>
          <w:rFonts w:ascii="宋体" w:hAnsi="宋体" w:cs="宋体"/>
          <w:sz w:val="21"/>
          <w:szCs w:val="21"/>
          <w:u w:val="single"/>
        </w:rPr>
      </w:pPr>
      <w:r>
        <w:rPr>
          <w:rFonts w:hint="eastAsia" w:ascii="宋体" w:hAnsi="宋体" w:cs="宋体"/>
          <w:sz w:val="21"/>
          <w:szCs w:val="21"/>
        </w:rPr>
        <w:t>3.保证遵守招标文件的规定，忠实地执行双方所签订的合同，并承担合同规定的责任和义务。</w:t>
      </w:r>
    </w:p>
    <w:p w14:paraId="76592540">
      <w:pPr>
        <w:spacing w:line="360" w:lineRule="auto"/>
        <w:ind w:firstLine="420" w:firstLineChars="200"/>
        <w:rPr>
          <w:rFonts w:ascii="宋体" w:hAnsi="宋体" w:cs="宋体"/>
          <w:sz w:val="21"/>
          <w:szCs w:val="21"/>
        </w:rPr>
      </w:pPr>
      <w:r>
        <w:rPr>
          <w:rFonts w:hint="eastAsia" w:ascii="宋体" w:hAnsi="宋体" w:cs="宋体"/>
          <w:sz w:val="21"/>
          <w:szCs w:val="21"/>
        </w:rPr>
        <w:t>4.我方愿意向贵方提供任何与本项投标有关的数据、情况和技术资料。若贵方需要，我方愿意提供我方作出的一切承诺的证明材料。</w:t>
      </w:r>
    </w:p>
    <w:p w14:paraId="5DD77DED">
      <w:pPr>
        <w:spacing w:line="360" w:lineRule="auto"/>
        <w:ind w:firstLine="420" w:firstLineChars="200"/>
        <w:rPr>
          <w:rFonts w:ascii="宋体" w:hAnsi="宋体" w:cs="宋体"/>
          <w:sz w:val="21"/>
          <w:szCs w:val="21"/>
        </w:rPr>
      </w:pPr>
      <w:r>
        <w:rPr>
          <w:rFonts w:hint="eastAsia" w:ascii="宋体" w:hAnsi="宋体" w:cs="宋体"/>
          <w:sz w:val="21"/>
          <w:szCs w:val="21"/>
        </w:rPr>
        <w:t>5.我方已详细审核全部招标文件，包括招标文件修改书（如有的话）、参考资料及有关附件，确认无误。</w:t>
      </w:r>
    </w:p>
    <w:p w14:paraId="34CA0693">
      <w:pPr>
        <w:spacing w:line="360" w:lineRule="auto"/>
        <w:ind w:firstLine="420" w:firstLineChars="200"/>
        <w:rPr>
          <w:rFonts w:ascii="宋体" w:hAnsi="宋体" w:cs="宋体"/>
          <w:sz w:val="21"/>
          <w:szCs w:val="21"/>
        </w:rPr>
      </w:pPr>
      <w:r>
        <w:rPr>
          <w:rFonts w:hint="eastAsia" w:ascii="宋体" w:hAnsi="宋体" w:cs="宋体"/>
          <w:sz w:val="21"/>
          <w:szCs w:val="21"/>
        </w:rPr>
        <w:t>6.我方承诺：招标人若需追加采购本项目招标文件相关服务的，在不改变合同其他实质性条款的前提下，按相同或更优惠的折扣率保证提供。</w:t>
      </w:r>
    </w:p>
    <w:p w14:paraId="6B558DB4">
      <w:pPr>
        <w:spacing w:line="360" w:lineRule="auto"/>
        <w:ind w:firstLine="420" w:firstLineChars="200"/>
        <w:rPr>
          <w:rFonts w:ascii="宋体" w:hAnsi="宋体" w:cs="宋体"/>
          <w:sz w:val="21"/>
          <w:szCs w:val="21"/>
        </w:rPr>
      </w:pPr>
      <w:r>
        <w:rPr>
          <w:rFonts w:hint="eastAsia" w:ascii="宋体" w:hAnsi="宋体" w:cs="宋体"/>
          <w:sz w:val="21"/>
          <w:szCs w:val="21"/>
        </w:rPr>
        <w:t>7.我方投标文件所附开标一览表中所提供的投标报价</w:t>
      </w:r>
      <w:r>
        <w:rPr>
          <w:rFonts w:hint="eastAsia" w:ascii="宋体" w:hAnsi="宋体" w:cs="宋体"/>
          <w:sz w:val="21"/>
          <w:szCs w:val="21"/>
          <w:u w:val="single"/>
        </w:rPr>
        <w:t xml:space="preserve">       元（小写）即   （大写）</w:t>
      </w:r>
      <w:r>
        <w:rPr>
          <w:rFonts w:hint="eastAsia" w:ascii="宋体" w:hAnsi="宋体" w:cs="宋体"/>
          <w:sz w:val="21"/>
          <w:szCs w:val="21"/>
        </w:rPr>
        <w:t>为本项目的最终报价，包括招标文件中所有要求及其他辅助规定等。</w:t>
      </w:r>
    </w:p>
    <w:p w14:paraId="72586708">
      <w:pPr>
        <w:spacing w:line="360" w:lineRule="auto"/>
        <w:ind w:firstLine="420" w:firstLineChars="200"/>
        <w:rPr>
          <w:rFonts w:ascii="宋体" w:hAnsi="宋体" w:cs="宋体"/>
          <w:sz w:val="21"/>
          <w:szCs w:val="21"/>
        </w:rPr>
      </w:pPr>
      <w:r>
        <w:rPr>
          <w:rFonts w:hint="eastAsia" w:ascii="宋体" w:hAnsi="宋体" w:cs="宋体"/>
          <w:sz w:val="21"/>
          <w:szCs w:val="21"/>
        </w:rPr>
        <w:t>8、我方保证投标文件中的所有资料均为真实、有效的，如有虚假，我方承诺投标文件无效并愿承担一切责任。</w:t>
      </w:r>
    </w:p>
    <w:p w14:paraId="7BEC259C"/>
    <w:p w14:paraId="3010D511">
      <w:pPr>
        <w:pStyle w:val="28"/>
      </w:pPr>
    </w:p>
    <w:p w14:paraId="62EBCF5A">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2C2CBAC7">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F96AD91">
      <w:pPr>
        <w:wordWrap w:val="0"/>
        <w:spacing w:line="360" w:lineRule="auto"/>
        <w:ind w:right="1470" w:firstLine="420" w:firstLineChars="200"/>
        <w:jc w:val="right"/>
        <w:rPr>
          <w:rFonts w:ascii="宋体" w:hAnsi="宋体" w:cs="宋体"/>
          <w:sz w:val="21"/>
          <w:szCs w:val="21"/>
          <w:u w:val="single"/>
        </w:rPr>
      </w:pPr>
    </w:p>
    <w:p w14:paraId="61904358">
      <w:pPr>
        <w:spacing w:line="360" w:lineRule="auto"/>
        <w:ind w:right="1260" w:firstLine="420" w:firstLineChars="200"/>
        <w:jc w:val="right"/>
        <w:rPr>
          <w:rFonts w:ascii="宋体" w:hAnsi="宋体" w:cs="宋体"/>
          <w:sz w:val="21"/>
          <w:szCs w:val="21"/>
          <w:u w:val="single"/>
        </w:rPr>
      </w:pPr>
    </w:p>
    <w:p w14:paraId="445B9AFD">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1404E287">
      <w:pPr>
        <w:pStyle w:val="4"/>
        <w:spacing w:line="400" w:lineRule="exact"/>
        <w:ind w:firstLine="0" w:firstLineChars="0"/>
        <w:jc w:val="center"/>
        <w:rPr>
          <w:rFonts w:ascii="宋体" w:hAnsi="宋体" w:cs="宋体"/>
          <w:szCs w:val="28"/>
        </w:rPr>
      </w:pPr>
      <w:r>
        <w:rPr>
          <w:rFonts w:ascii="宋体" w:hAnsi="宋体" w:cs="宋体"/>
          <w:szCs w:val="28"/>
        </w:rPr>
        <w:br w:type="page"/>
      </w:r>
      <w:bookmarkStart w:id="1005" w:name="_Toc15487"/>
      <w:bookmarkStart w:id="1006" w:name="_Toc10801"/>
      <w:bookmarkStart w:id="1007" w:name="_Toc54032275"/>
      <w:bookmarkStart w:id="1008" w:name="_Toc30414"/>
      <w:bookmarkStart w:id="1009" w:name="_Toc15457378"/>
      <w:r>
        <w:rPr>
          <w:rFonts w:hint="eastAsia" w:ascii="宋体" w:hAnsi="宋体" w:cs="宋体"/>
          <w:szCs w:val="28"/>
        </w:rPr>
        <w:t>二、开标一览表</w:t>
      </w:r>
      <w:bookmarkEnd w:id="1005"/>
      <w:bookmarkEnd w:id="1006"/>
      <w:bookmarkEnd w:id="1007"/>
      <w:bookmarkEnd w:id="1008"/>
      <w:bookmarkEnd w:id="1009"/>
    </w:p>
    <w:tbl>
      <w:tblPr>
        <w:tblStyle w:val="30"/>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479"/>
        <w:gridCol w:w="6180"/>
      </w:tblGrid>
      <w:tr w14:paraId="7B44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31201035">
            <w:pPr>
              <w:pStyle w:val="7"/>
              <w:spacing w:line="480" w:lineRule="exact"/>
              <w:ind w:firstLine="0"/>
              <w:jc w:val="center"/>
              <w:rPr>
                <w:rFonts w:ascii="宋体" w:hAnsi="宋体" w:cs="宋体"/>
                <w:sz w:val="21"/>
                <w:szCs w:val="21"/>
              </w:rPr>
            </w:pPr>
            <w:r>
              <w:rPr>
                <w:rFonts w:hint="eastAsia" w:ascii="宋体" w:hAnsi="宋体" w:cs="宋体"/>
                <w:sz w:val="21"/>
                <w:szCs w:val="21"/>
              </w:rPr>
              <w:t>项目名称</w:t>
            </w:r>
          </w:p>
        </w:tc>
        <w:tc>
          <w:tcPr>
            <w:tcW w:w="6180" w:type="dxa"/>
            <w:vAlign w:val="center"/>
          </w:tcPr>
          <w:p w14:paraId="201650CE">
            <w:pPr>
              <w:pStyle w:val="7"/>
              <w:spacing w:line="480" w:lineRule="exact"/>
              <w:ind w:firstLine="0"/>
              <w:rPr>
                <w:rFonts w:ascii="宋体" w:hAnsi="宋体" w:cs="宋体"/>
                <w:sz w:val="21"/>
                <w:szCs w:val="21"/>
              </w:rPr>
            </w:pPr>
          </w:p>
        </w:tc>
      </w:tr>
      <w:tr w14:paraId="25F30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74B1744">
            <w:pPr>
              <w:pStyle w:val="7"/>
              <w:spacing w:line="480" w:lineRule="exact"/>
              <w:ind w:firstLine="0"/>
              <w:jc w:val="center"/>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名称</w:t>
            </w:r>
          </w:p>
        </w:tc>
        <w:tc>
          <w:tcPr>
            <w:tcW w:w="6180" w:type="dxa"/>
            <w:vAlign w:val="center"/>
          </w:tcPr>
          <w:p w14:paraId="41AE4E50">
            <w:pPr>
              <w:pStyle w:val="7"/>
              <w:spacing w:line="480" w:lineRule="exact"/>
              <w:ind w:firstLine="0"/>
              <w:jc w:val="center"/>
              <w:rPr>
                <w:rFonts w:ascii="宋体" w:hAnsi="宋体" w:cs="宋体"/>
                <w:sz w:val="21"/>
                <w:szCs w:val="21"/>
              </w:rPr>
            </w:pPr>
          </w:p>
        </w:tc>
      </w:tr>
      <w:tr w14:paraId="7E5D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02F55929">
            <w:pPr>
              <w:pStyle w:val="7"/>
              <w:spacing w:line="480" w:lineRule="exact"/>
              <w:ind w:firstLine="0"/>
              <w:jc w:val="center"/>
              <w:rPr>
                <w:rFonts w:ascii="宋体" w:hAnsi="宋体" w:cs="宋体"/>
                <w:sz w:val="21"/>
                <w:szCs w:val="21"/>
              </w:rPr>
            </w:pPr>
            <w:r>
              <w:rPr>
                <w:rFonts w:hint="eastAsia" w:ascii="宋体" w:hAnsi="宋体" w:cs="宋体"/>
                <w:sz w:val="21"/>
                <w:szCs w:val="21"/>
              </w:rPr>
              <w:t>投标报价</w:t>
            </w:r>
          </w:p>
        </w:tc>
        <w:tc>
          <w:tcPr>
            <w:tcW w:w="6180" w:type="dxa"/>
            <w:vAlign w:val="center"/>
          </w:tcPr>
          <w:p w14:paraId="2DA601C2">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大写：</w:t>
            </w:r>
          </w:p>
          <w:p w14:paraId="35499624">
            <w:pPr>
              <w:pStyle w:val="7"/>
              <w:spacing w:line="480" w:lineRule="exact"/>
              <w:ind w:firstLine="0"/>
              <w:rPr>
                <w:rFonts w:ascii="宋体" w:hAnsi="宋体" w:cs="宋体"/>
                <w:sz w:val="21"/>
                <w:szCs w:val="21"/>
                <w:u w:val="single"/>
              </w:rPr>
            </w:pPr>
            <w:r>
              <w:rPr>
                <w:rFonts w:hint="eastAsia" w:ascii="宋体" w:hAnsi="宋体" w:cs="宋体"/>
                <w:kern w:val="0"/>
                <w:sz w:val="21"/>
                <w:szCs w:val="21"/>
                <w:lang w:val="zh-CN"/>
              </w:rPr>
              <w:t>小写：</w:t>
            </w:r>
          </w:p>
        </w:tc>
      </w:tr>
      <w:tr w14:paraId="5EC5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7E32121">
            <w:pPr>
              <w:pStyle w:val="7"/>
              <w:spacing w:line="480" w:lineRule="exact"/>
              <w:ind w:firstLine="0"/>
              <w:jc w:val="center"/>
              <w:rPr>
                <w:rFonts w:ascii="宋体" w:hAnsi="宋体" w:cs="宋体"/>
                <w:sz w:val="21"/>
                <w:szCs w:val="21"/>
              </w:rPr>
            </w:pPr>
            <w:r>
              <w:rPr>
                <w:rFonts w:hint="eastAsia" w:ascii="宋体" w:hAnsi="宋体" w:cs="宋体"/>
                <w:sz w:val="21"/>
                <w:szCs w:val="21"/>
              </w:rPr>
              <w:t>供货及安装期</w:t>
            </w:r>
          </w:p>
        </w:tc>
        <w:tc>
          <w:tcPr>
            <w:tcW w:w="6180" w:type="dxa"/>
            <w:vAlign w:val="center"/>
          </w:tcPr>
          <w:p w14:paraId="3D36B27D">
            <w:pPr>
              <w:pStyle w:val="7"/>
              <w:spacing w:line="480" w:lineRule="exact"/>
              <w:ind w:firstLine="0"/>
              <w:rPr>
                <w:rFonts w:ascii="宋体" w:hAnsi="宋体" w:cs="宋体"/>
                <w:sz w:val="21"/>
                <w:szCs w:val="21"/>
              </w:rPr>
            </w:pPr>
          </w:p>
        </w:tc>
      </w:tr>
      <w:tr w14:paraId="76B24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63597F0">
            <w:pPr>
              <w:pStyle w:val="7"/>
              <w:spacing w:line="480" w:lineRule="exact"/>
              <w:ind w:firstLine="0"/>
              <w:jc w:val="center"/>
              <w:rPr>
                <w:rFonts w:ascii="宋体" w:hAnsi="宋体" w:cs="宋体"/>
                <w:color w:val="auto"/>
                <w:sz w:val="21"/>
                <w:szCs w:val="21"/>
              </w:rPr>
            </w:pPr>
            <w:r>
              <w:rPr>
                <w:rFonts w:hint="eastAsia" w:ascii="宋体" w:hAnsi="宋体" w:cs="宋体"/>
                <w:color w:val="auto"/>
                <w:sz w:val="21"/>
                <w:szCs w:val="21"/>
              </w:rPr>
              <w:t>质量</w:t>
            </w:r>
          </w:p>
        </w:tc>
        <w:tc>
          <w:tcPr>
            <w:tcW w:w="6180" w:type="dxa"/>
            <w:vAlign w:val="center"/>
          </w:tcPr>
          <w:p w14:paraId="5596387C">
            <w:pPr>
              <w:pStyle w:val="7"/>
              <w:spacing w:line="480" w:lineRule="exact"/>
              <w:ind w:firstLine="0"/>
              <w:rPr>
                <w:rFonts w:ascii="宋体" w:hAnsi="宋体" w:cs="宋体"/>
                <w:sz w:val="21"/>
                <w:szCs w:val="21"/>
              </w:rPr>
            </w:pPr>
          </w:p>
        </w:tc>
      </w:tr>
      <w:tr w14:paraId="472D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02554F97">
            <w:pPr>
              <w:pStyle w:val="7"/>
              <w:spacing w:line="480" w:lineRule="exact"/>
              <w:ind w:firstLine="0"/>
              <w:jc w:val="center"/>
              <w:rPr>
                <w:rFonts w:ascii="宋体" w:hAnsi="宋体" w:cs="宋体"/>
                <w:color w:val="auto"/>
                <w:sz w:val="21"/>
                <w:szCs w:val="21"/>
              </w:rPr>
            </w:pPr>
            <w:r>
              <w:rPr>
                <w:rFonts w:hint="eastAsia" w:ascii="宋体" w:hAnsi="宋体" w:cs="宋体"/>
                <w:color w:val="auto"/>
                <w:sz w:val="21"/>
                <w:szCs w:val="21"/>
              </w:rPr>
              <w:t>质保期</w:t>
            </w:r>
          </w:p>
        </w:tc>
        <w:tc>
          <w:tcPr>
            <w:tcW w:w="6180" w:type="dxa"/>
            <w:vAlign w:val="center"/>
          </w:tcPr>
          <w:p w14:paraId="765AF798">
            <w:pPr>
              <w:pStyle w:val="7"/>
              <w:spacing w:line="480" w:lineRule="exact"/>
              <w:ind w:firstLine="0"/>
              <w:rPr>
                <w:rFonts w:ascii="宋体" w:hAnsi="宋体" w:cs="宋体"/>
                <w:sz w:val="21"/>
                <w:szCs w:val="21"/>
              </w:rPr>
            </w:pPr>
          </w:p>
        </w:tc>
      </w:tr>
      <w:tr w14:paraId="6D49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18E6CC7C">
            <w:pPr>
              <w:pStyle w:val="7"/>
              <w:spacing w:line="480" w:lineRule="exact"/>
              <w:ind w:firstLine="0"/>
              <w:jc w:val="center"/>
              <w:rPr>
                <w:rFonts w:ascii="宋体" w:hAnsi="宋体" w:cs="宋体"/>
                <w:sz w:val="21"/>
                <w:szCs w:val="21"/>
              </w:rPr>
            </w:pPr>
            <w:r>
              <w:rPr>
                <w:rFonts w:hint="eastAsia" w:ascii="宋体" w:hAnsi="宋体" w:cs="宋体"/>
                <w:sz w:val="21"/>
                <w:szCs w:val="21"/>
              </w:rPr>
              <w:t>授权委托人姓名、联系电话及邮箱</w:t>
            </w:r>
          </w:p>
        </w:tc>
        <w:tc>
          <w:tcPr>
            <w:tcW w:w="6180" w:type="dxa"/>
            <w:vAlign w:val="center"/>
          </w:tcPr>
          <w:p w14:paraId="627F2DA1">
            <w:pPr>
              <w:pStyle w:val="7"/>
              <w:spacing w:line="480" w:lineRule="exact"/>
              <w:ind w:firstLine="0"/>
              <w:rPr>
                <w:rFonts w:ascii="宋体" w:hAnsi="宋体" w:cs="宋体"/>
                <w:sz w:val="21"/>
                <w:szCs w:val="21"/>
              </w:rPr>
            </w:pPr>
          </w:p>
        </w:tc>
      </w:tr>
      <w:tr w14:paraId="6876B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6" w:hRule="atLeast"/>
          <w:jc w:val="center"/>
        </w:trPr>
        <w:tc>
          <w:tcPr>
            <w:tcW w:w="3479" w:type="dxa"/>
            <w:vAlign w:val="center"/>
          </w:tcPr>
          <w:p w14:paraId="3BB45C50">
            <w:pPr>
              <w:pStyle w:val="7"/>
              <w:spacing w:line="480" w:lineRule="exact"/>
              <w:ind w:firstLine="0"/>
              <w:jc w:val="center"/>
              <w:rPr>
                <w:rFonts w:ascii="宋体" w:hAnsi="宋体" w:cs="宋体"/>
                <w:sz w:val="21"/>
                <w:szCs w:val="21"/>
              </w:rPr>
            </w:pPr>
            <w:r>
              <w:rPr>
                <w:rFonts w:hint="eastAsia" w:ascii="宋体" w:hAnsi="宋体" w:cs="宋体"/>
                <w:sz w:val="21"/>
                <w:szCs w:val="21"/>
              </w:rPr>
              <w:t>其他承诺及需要说明的事项</w:t>
            </w:r>
          </w:p>
        </w:tc>
        <w:tc>
          <w:tcPr>
            <w:tcW w:w="6180" w:type="dxa"/>
            <w:vAlign w:val="center"/>
          </w:tcPr>
          <w:p w14:paraId="2FAD03DF">
            <w:pPr>
              <w:pStyle w:val="7"/>
              <w:spacing w:line="480" w:lineRule="exact"/>
              <w:ind w:firstLine="0"/>
              <w:rPr>
                <w:rFonts w:ascii="宋体" w:hAnsi="宋体" w:cs="宋体"/>
                <w:sz w:val="21"/>
                <w:szCs w:val="21"/>
              </w:rPr>
            </w:pPr>
          </w:p>
        </w:tc>
      </w:tr>
    </w:tbl>
    <w:p w14:paraId="396F467E">
      <w:pPr>
        <w:spacing w:line="360" w:lineRule="auto"/>
        <w:rPr>
          <w:rFonts w:ascii="宋体" w:hAnsi="宋体" w:cs="宋体"/>
          <w:sz w:val="21"/>
          <w:szCs w:val="21"/>
        </w:rPr>
      </w:pPr>
    </w:p>
    <w:p w14:paraId="264DB859">
      <w:pPr>
        <w:autoSpaceDE w:val="0"/>
        <w:autoSpaceDN w:val="0"/>
        <w:spacing w:line="360" w:lineRule="auto"/>
        <w:rPr>
          <w:rFonts w:ascii="宋体" w:hAnsi="宋体" w:cs="宋体"/>
          <w:kern w:val="0"/>
          <w:sz w:val="21"/>
          <w:szCs w:val="21"/>
          <w:lang w:val="zh-CN"/>
        </w:rPr>
      </w:pPr>
    </w:p>
    <w:p w14:paraId="2F866E79">
      <w:pPr>
        <w:spacing w:line="360" w:lineRule="auto"/>
        <w:ind w:firstLine="420" w:firstLineChars="200"/>
        <w:rPr>
          <w:rFonts w:ascii="宋体" w:hAnsi="宋体" w:cs="宋体"/>
          <w:sz w:val="21"/>
          <w:szCs w:val="21"/>
        </w:rPr>
      </w:pPr>
      <w:bookmarkStart w:id="1010" w:name="_Toc22770"/>
      <w:bookmarkStart w:id="1011" w:name="_Toc20808"/>
      <w:bookmarkStart w:id="1012" w:name="_Toc28114"/>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4F2F3F39">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2AE3874D">
      <w:pPr>
        <w:wordWrap w:val="0"/>
        <w:spacing w:line="360" w:lineRule="auto"/>
        <w:ind w:right="1470" w:firstLine="420" w:firstLineChars="200"/>
        <w:jc w:val="right"/>
        <w:rPr>
          <w:rFonts w:ascii="宋体" w:hAnsi="宋体" w:cs="宋体"/>
          <w:sz w:val="21"/>
          <w:szCs w:val="21"/>
          <w:u w:val="single"/>
        </w:rPr>
      </w:pPr>
    </w:p>
    <w:p w14:paraId="14527FAE">
      <w:pPr>
        <w:spacing w:line="360" w:lineRule="auto"/>
        <w:ind w:right="1260" w:firstLine="420" w:firstLineChars="200"/>
        <w:jc w:val="right"/>
        <w:rPr>
          <w:rFonts w:ascii="宋体" w:hAnsi="宋体" w:cs="宋体"/>
          <w:sz w:val="21"/>
          <w:szCs w:val="21"/>
          <w:u w:val="single"/>
        </w:rPr>
      </w:pPr>
    </w:p>
    <w:p w14:paraId="0CB662CC">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36A67F27"/>
    <w:p w14:paraId="2E6BA306">
      <w:pPr>
        <w:rPr>
          <w:rFonts w:ascii="宋体" w:hAnsi="宋体" w:cs="宋体"/>
          <w:szCs w:val="28"/>
        </w:rPr>
      </w:pPr>
      <w:r>
        <w:rPr>
          <w:rFonts w:hint="eastAsia" w:ascii="宋体" w:hAnsi="宋体" w:cs="宋体"/>
          <w:szCs w:val="28"/>
        </w:rPr>
        <w:br w:type="page"/>
      </w:r>
    </w:p>
    <w:p w14:paraId="23AC3F09">
      <w:pPr>
        <w:pStyle w:val="4"/>
        <w:spacing w:line="400" w:lineRule="exact"/>
        <w:ind w:firstLine="0" w:firstLineChars="0"/>
        <w:jc w:val="center"/>
        <w:rPr>
          <w:rFonts w:ascii="宋体" w:hAnsi="宋体" w:cs="宋体"/>
        </w:rPr>
      </w:pPr>
      <w:bookmarkStart w:id="1013" w:name="_Toc21773"/>
      <w:bookmarkStart w:id="1014" w:name="_Toc17980"/>
      <w:r>
        <w:rPr>
          <w:rFonts w:hint="eastAsia" w:ascii="宋体" w:hAnsi="宋体" w:cs="宋体"/>
          <w:szCs w:val="28"/>
        </w:rPr>
        <w:t>三、</w:t>
      </w:r>
      <w:r>
        <w:rPr>
          <w:rFonts w:hint="eastAsia"/>
          <w:szCs w:val="28"/>
        </w:rPr>
        <w:t>法定代表人身份证明和授权委托书</w:t>
      </w:r>
      <w:bookmarkEnd w:id="1013"/>
      <w:bookmarkEnd w:id="1014"/>
    </w:p>
    <w:bookmarkEnd w:id="1010"/>
    <w:p w14:paraId="1863CBCD">
      <w:pPr>
        <w:spacing w:line="360" w:lineRule="auto"/>
        <w:jc w:val="left"/>
        <w:rPr>
          <w:b/>
          <w:szCs w:val="28"/>
        </w:rPr>
      </w:pPr>
    </w:p>
    <w:p w14:paraId="5028571A">
      <w:pPr>
        <w:spacing w:line="360" w:lineRule="auto"/>
        <w:jc w:val="center"/>
        <w:rPr>
          <w:b/>
          <w:szCs w:val="28"/>
        </w:rPr>
      </w:pPr>
      <w:r>
        <w:rPr>
          <w:rFonts w:hint="eastAsia"/>
          <w:b/>
          <w:szCs w:val="28"/>
        </w:rPr>
        <w:t>法定代表人身份证明</w:t>
      </w:r>
    </w:p>
    <w:p w14:paraId="6C2290BA">
      <w:pPr>
        <w:spacing w:line="360" w:lineRule="auto"/>
        <w:ind w:firstLine="480" w:firstLineChars="200"/>
        <w:rPr>
          <w:rFonts w:ascii="宋体" w:hAnsi="宋体"/>
          <w:szCs w:val="28"/>
        </w:rPr>
      </w:pPr>
    </w:p>
    <w:p w14:paraId="5D2520F7">
      <w:pPr>
        <w:spacing w:line="360" w:lineRule="auto"/>
        <w:ind w:firstLine="420" w:firstLineChars="200"/>
        <w:rPr>
          <w:rFonts w:ascii="宋体" w:hAnsi="宋体"/>
          <w:sz w:val="21"/>
          <w:szCs w:val="21"/>
        </w:rPr>
      </w:pPr>
      <w:r>
        <w:rPr>
          <w:rFonts w:hint="eastAsia" w:ascii="宋体" w:hAnsi="宋体"/>
          <w:sz w:val="21"/>
          <w:szCs w:val="21"/>
        </w:rPr>
        <w:t>供应商名称：</w:t>
      </w:r>
      <w:r>
        <w:rPr>
          <w:rFonts w:hint="eastAsia" w:ascii="宋体" w:hAnsi="宋体"/>
          <w:sz w:val="21"/>
          <w:szCs w:val="21"/>
          <w:u w:val="single"/>
        </w:rPr>
        <w:t xml:space="preserve">                                </w:t>
      </w:r>
      <w:r>
        <w:rPr>
          <w:rFonts w:hint="eastAsia" w:ascii="宋体" w:hAnsi="宋体"/>
          <w:sz w:val="21"/>
          <w:szCs w:val="21"/>
        </w:rPr>
        <w:t xml:space="preserve"> </w:t>
      </w:r>
    </w:p>
    <w:p w14:paraId="2E0C5B50">
      <w:pPr>
        <w:spacing w:line="360" w:lineRule="auto"/>
        <w:ind w:firstLine="420" w:firstLineChars="200"/>
        <w:rPr>
          <w:rFonts w:ascii="宋体" w:hAnsi="宋体"/>
          <w:sz w:val="21"/>
          <w:szCs w:val="21"/>
        </w:rPr>
      </w:pPr>
      <w:r>
        <w:rPr>
          <w:rFonts w:hint="eastAsia" w:ascii="宋体" w:hAnsi="宋体"/>
          <w:sz w:val="21"/>
          <w:szCs w:val="21"/>
        </w:rPr>
        <w:t>单位性质：</w:t>
      </w:r>
      <w:r>
        <w:rPr>
          <w:rFonts w:hint="eastAsia" w:ascii="宋体" w:hAnsi="宋体"/>
          <w:sz w:val="21"/>
          <w:szCs w:val="21"/>
          <w:u w:val="single"/>
        </w:rPr>
        <w:t xml:space="preserve">                                  </w:t>
      </w:r>
      <w:r>
        <w:rPr>
          <w:rFonts w:hint="eastAsia" w:ascii="宋体" w:hAnsi="宋体"/>
          <w:sz w:val="21"/>
          <w:szCs w:val="21"/>
        </w:rPr>
        <w:t xml:space="preserve"> </w:t>
      </w:r>
    </w:p>
    <w:p w14:paraId="1E9D36EC">
      <w:pPr>
        <w:spacing w:line="360" w:lineRule="auto"/>
        <w:ind w:firstLine="420" w:firstLineChars="200"/>
        <w:rPr>
          <w:rFonts w:ascii="宋体" w:hAnsi="宋体"/>
          <w:sz w:val="21"/>
          <w:szCs w:val="21"/>
        </w:rPr>
      </w:pPr>
      <w:r>
        <w:rPr>
          <w:rFonts w:hint="eastAsia" w:ascii="宋体" w:hAnsi="宋体"/>
          <w:sz w:val="21"/>
          <w:szCs w:val="21"/>
        </w:rPr>
        <w:t>地址：</w:t>
      </w:r>
      <w:r>
        <w:rPr>
          <w:rFonts w:hint="eastAsia" w:ascii="宋体" w:hAnsi="宋体"/>
          <w:sz w:val="21"/>
          <w:szCs w:val="21"/>
          <w:u w:val="single"/>
        </w:rPr>
        <w:t xml:space="preserve">                                     </w:t>
      </w:r>
      <w:r>
        <w:rPr>
          <w:rFonts w:hint="eastAsia" w:ascii="宋体" w:hAnsi="宋体"/>
          <w:sz w:val="21"/>
          <w:szCs w:val="21"/>
        </w:rPr>
        <w:t xml:space="preserve"> </w:t>
      </w:r>
    </w:p>
    <w:p w14:paraId="5921D288">
      <w:pPr>
        <w:spacing w:line="360" w:lineRule="auto"/>
        <w:ind w:firstLine="420" w:firstLineChars="200"/>
        <w:rPr>
          <w:rFonts w:ascii="宋体" w:hAnsi="宋体"/>
          <w:sz w:val="21"/>
          <w:szCs w:val="21"/>
        </w:rPr>
      </w:pPr>
      <w:r>
        <w:rPr>
          <w:rFonts w:hint="eastAsia" w:ascii="宋体" w:hAnsi="宋体"/>
          <w:sz w:val="21"/>
          <w:szCs w:val="21"/>
        </w:rPr>
        <w:t>成立时间：</w:t>
      </w: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4BEBB05C">
      <w:pPr>
        <w:spacing w:line="360" w:lineRule="auto"/>
        <w:ind w:firstLine="420" w:firstLineChars="200"/>
        <w:rPr>
          <w:rFonts w:ascii="宋体" w:hAnsi="宋体"/>
          <w:sz w:val="21"/>
          <w:szCs w:val="21"/>
        </w:rPr>
      </w:pPr>
      <w:r>
        <w:rPr>
          <w:rFonts w:hint="eastAsia" w:ascii="宋体" w:hAnsi="宋体"/>
          <w:sz w:val="21"/>
          <w:szCs w:val="21"/>
        </w:rPr>
        <w:t>经营期限：</w:t>
      </w:r>
      <w:r>
        <w:rPr>
          <w:rFonts w:hint="eastAsia" w:ascii="宋体" w:hAnsi="宋体"/>
          <w:sz w:val="21"/>
          <w:szCs w:val="21"/>
          <w:u w:val="single"/>
        </w:rPr>
        <w:t xml:space="preserve">                                </w:t>
      </w:r>
      <w:r>
        <w:rPr>
          <w:rFonts w:hint="eastAsia" w:ascii="宋体" w:hAnsi="宋体"/>
          <w:sz w:val="21"/>
          <w:szCs w:val="21"/>
        </w:rPr>
        <w:t xml:space="preserve"> </w:t>
      </w:r>
    </w:p>
    <w:p w14:paraId="3947C10F">
      <w:pPr>
        <w:spacing w:line="360" w:lineRule="auto"/>
        <w:ind w:firstLine="420" w:firstLineChars="200"/>
        <w:rPr>
          <w:rFonts w:ascii="宋体" w:hAnsi="宋体"/>
          <w:sz w:val="21"/>
          <w:szCs w:val="21"/>
        </w:rPr>
      </w:pPr>
      <w:r>
        <w:rPr>
          <w:rFonts w:hint="eastAsia" w:ascii="宋体" w:hAnsi="宋体"/>
          <w:sz w:val="21"/>
          <w:szCs w:val="21"/>
        </w:rPr>
        <w:t>姓名：</w:t>
      </w:r>
      <w:r>
        <w:rPr>
          <w:rFonts w:hint="eastAsia" w:ascii="宋体" w:hAnsi="宋体"/>
          <w:sz w:val="21"/>
          <w:szCs w:val="21"/>
          <w:u w:val="single"/>
        </w:rPr>
        <w:t xml:space="preserve">           </w:t>
      </w:r>
      <w:r>
        <w:rPr>
          <w:rFonts w:hint="eastAsia" w:ascii="宋体" w:hAnsi="宋体"/>
          <w:sz w:val="21"/>
          <w:szCs w:val="21"/>
        </w:rPr>
        <w:t>性别：</w:t>
      </w:r>
      <w:r>
        <w:rPr>
          <w:rFonts w:hint="eastAsia" w:ascii="宋体" w:hAnsi="宋体"/>
          <w:sz w:val="21"/>
          <w:szCs w:val="21"/>
          <w:u w:val="single"/>
        </w:rPr>
        <w:t xml:space="preserve">        </w:t>
      </w:r>
      <w:r>
        <w:rPr>
          <w:rFonts w:hint="eastAsia" w:ascii="宋体" w:hAnsi="宋体"/>
          <w:sz w:val="21"/>
          <w:szCs w:val="21"/>
        </w:rPr>
        <w:t>年龄：</w:t>
      </w:r>
      <w:r>
        <w:rPr>
          <w:rFonts w:hint="eastAsia" w:ascii="宋体" w:hAnsi="宋体"/>
          <w:sz w:val="21"/>
          <w:szCs w:val="21"/>
          <w:u w:val="single"/>
        </w:rPr>
        <w:t xml:space="preserve">     </w:t>
      </w:r>
      <w:r>
        <w:rPr>
          <w:rFonts w:hint="eastAsia" w:ascii="宋体" w:hAnsi="宋体"/>
          <w:sz w:val="21"/>
          <w:szCs w:val="21"/>
        </w:rPr>
        <w:t>职务：</w:t>
      </w:r>
      <w:r>
        <w:rPr>
          <w:rFonts w:hint="eastAsia" w:ascii="宋体" w:hAnsi="宋体"/>
          <w:sz w:val="21"/>
          <w:szCs w:val="21"/>
          <w:u w:val="single"/>
        </w:rPr>
        <w:t xml:space="preserve">       </w:t>
      </w:r>
      <w:r>
        <w:rPr>
          <w:rFonts w:hint="eastAsia" w:ascii="宋体" w:hAnsi="宋体"/>
          <w:sz w:val="21"/>
          <w:szCs w:val="21"/>
        </w:rPr>
        <w:t>_</w:t>
      </w:r>
    </w:p>
    <w:p w14:paraId="7FE989F0">
      <w:pPr>
        <w:spacing w:line="360" w:lineRule="auto"/>
        <w:ind w:firstLine="420" w:firstLineChars="200"/>
        <w:rPr>
          <w:rFonts w:ascii="宋体" w:hAnsi="宋体"/>
          <w:sz w:val="21"/>
          <w:szCs w:val="21"/>
        </w:rPr>
      </w:pPr>
      <w:r>
        <w:rPr>
          <w:rFonts w:hint="eastAsia" w:ascii="宋体" w:hAnsi="宋体"/>
          <w:sz w:val="21"/>
          <w:szCs w:val="21"/>
        </w:rPr>
        <w:t>系</w:t>
      </w:r>
      <w:r>
        <w:rPr>
          <w:rFonts w:hint="eastAsia" w:ascii="宋体" w:hAnsi="宋体"/>
          <w:sz w:val="21"/>
          <w:szCs w:val="21"/>
          <w:u w:val="single"/>
        </w:rPr>
        <w:t xml:space="preserve">                                </w:t>
      </w:r>
      <w:r>
        <w:rPr>
          <w:rFonts w:hint="eastAsia" w:ascii="宋体" w:hAnsi="宋体"/>
          <w:sz w:val="21"/>
          <w:szCs w:val="21"/>
        </w:rPr>
        <w:t>（供应商名称）的法定代表人。</w:t>
      </w:r>
    </w:p>
    <w:p w14:paraId="64AC35B5">
      <w:pPr>
        <w:spacing w:line="360" w:lineRule="auto"/>
        <w:ind w:firstLine="840" w:firstLineChars="400"/>
        <w:rPr>
          <w:rFonts w:ascii="宋体" w:hAnsi="宋体"/>
          <w:sz w:val="21"/>
          <w:szCs w:val="21"/>
        </w:rPr>
      </w:pPr>
      <w:r>
        <w:rPr>
          <w:rFonts w:hint="eastAsia" w:ascii="宋体" w:hAnsi="宋体"/>
          <w:sz w:val="21"/>
          <w:szCs w:val="21"/>
        </w:rPr>
        <w:t>特此证明。</w:t>
      </w:r>
    </w:p>
    <w:p w14:paraId="16EC796D"/>
    <w:p w14:paraId="72F1A7B5"/>
    <w:p w14:paraId="3D2EF7F8"/>
    <w:p w14:paraId="7F7938A2"/>
    <w:p w14:paraId="79F68D05"/>
    <w:p w14:paraId="00F904F9"/>
    <w:p w14:paraId="1809A393"/>
    <w:p w14:paraId="4666DF9F"/>
    <w:p w14:paraId="6E20DFA1">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5AE24A6E">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29A32832">
      <w:pPr>
        <w:wordWrap w:val="0"/>
        <w:spacing w:line="360" w:lineRule="auto"/>
        <w:ind w:right="1470" w:firstLine="420" w:firstLineChars="200"/>
        <w:jc w:val="right"/>
        <w:rPr>
          <w:rFonts w:ascii="宋体" w:hAnsi="宋体" w:cs="宋体"/>
          <w:sz w:val="21"/>
          <w:szCs w:val="21"/>
          <w:u w:val="single"/>
        </w:rPr>
      </w:pPr>
    </w:p>
    <w:p w14:paraId="50601FB3">
      <w:pPr>
        <w:spacing w:line="360" w:lineRule="auto"/>
        <w:ind w:right="1260" w:firstLine="420" w:firstLineChars="200"/>
        <w:jc w:val="right"/>
        <w:rPr>
          <w:rFonts w:ascii="宋体" w:hAnsi="宋体" w:cs="宋体"/>
          <w:sz w:val="21"/>
          <w:szCs w:val="21"/>
          <w:u w:val="single"/>
        </w:rPr>
      </w:pPr>
    </w:p>
    <w:p w14:paraId="63F0DC17">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5B0C4877"/>
    <w:p w14:paraId="296FAD9D"/>
    <w:p w14:paraId="4A90DA50">
      <w:pPr>
        <w:widowControl/>
        <w:jc w:val="left"/>
        <w:rPr>
          <w:b/>
          <w:sz w:val="32"/>
          <w:szCs w:val="28"/>
        </w:rPr>
      </w:pPr>
      <w:r>
        <w:rPr>
          <w:b/>
          <w:sz w:val="32"/>
          <w:szCs w:val="28"/>
        </w:rPr>
        <w:br w:type="page"/>
      </w:r>
    </w:p>
    <w:p w14:paraId="7719680B">
      <w:pPr>
        <w:spacing w:line="360" w:lineRule="auto"/>
        <w:jc w:val="center"/>
        <w:rPr>
          <w:b/>
          <w:szCs w:val="28"/>
        </w:rPr>
      </w:pPr>
      <w:r>
        <w:rPr>
          <w:rFonts w:hint="eastAsia"/>
          <w:b/>
          <w:szCs w:val="28"/>
        </w:rPr>
        <w:t>授权委托书</w:t>
      </w:r>
    </w:p>
    <w:p w14:paraId="0BE202F4">
      <w:pPr>
        <w:spacing w:line="360" w:lineRule="auto"/>
        <w:rPr>
          <w:rFonts w:ascii="宋体" w:hAnsi="宋体" w:cs="宋体"/>
          <w:sz w:val="21"/>
          <w:szCs w:val="21"/>
        </w:rPr>
      </w:pPr>
      <w:r>
        <w:rPr>
          <w:rFonts w:hint="eastAsia" w:ascii="宋体" w:hAnsi="宋体" w:cs="宋体"/>
          <w:sz w:val="21"/>
          <w:szCs w:val="21"/>
          <w:u w:val="single"/>
        </w:rPr>
        <w:t>（采购人名称）</w:t>
      </w:r>
      <w:r>
        <w:rPr>
          <w:rFonts w:hint="eastAsia" w:ascii="宋体" w:hAnsi="宋体" w:cs="宋体"/>
          <w:sz w:val="21"/>
          <w:szCs w:val="21"/>
        </w:rPr>
        <w:t xml:space="preserve">： </w:t>
      </w:r>
    </w:p>
    <w:p w14:paraId="5FC5A412">
      <w:pPr>
        <w:spacing w:line="360" w:lineRule="auto"/>
        <w:ind w:firstLine="420" w:firstLineChars="200"/>
        <w:rPr>
          <w:rFonts w:ascii="宋体" w:hAnsi="宋体" w:cs="宋体"/>
          <w:sz w:val="21"/>
          <w:szCs w:val="21"/>
          <w:u w:val="single"/>
        </w:rPr>
      </w:pPr>
      <w:r>
        <w:rPr>
          <w:rFonts w:hint="eastAsia" w:ascii="宋体" w:hAnsi="宋体" w:cs="宋体"/>
          <w:sz w:val="21"/>
          <w:szCs w:val="21"/>
        </w:rPr>
        <w:t>本授权书声明：注册于</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住址）的</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名称）法定代表人</w:t>
      </w:r>
      <w:r>
        <w:rPr>
          <w:rFonts w:hint="eastAsia" w:ascii="宋体" w:hAnsi="宋体" w:cs="宋体"/>
          <w:sz w:val="21"/>
          <w:szCs w:val="21"/>
          <w:u w:val="single"/>
        </w:rPr>
        <w:t xml:space="preserve">            </w:t>
      </w:r>
      <w:r>
        <w:rPr>
          <w:rFonts w:hint="eastAsia" w:ascii="宋体" w:hAnsi="宋体" w:cs="宋体"/>
          <w:sz w:val="21"/>
          <w:szCs w:val="21"/>
        </w:rPr>
        <w:t>（法定代表人姓名）代表本公司授权</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代表姓名）为本公司的合法代理人，就贵方组织的</w:t>
      </w:r>
      <w:r>
        <w:rPr>
          <w:rFonts w:hint="eastAsia" w:ascii="宋体" w:hAnsi="宋体" w:cs="宋体"/>
          <w:sz w:val="21"/>
          <w:szCs w:val="21"/>
          <w:u w:val="single"/>
        </w:rPr>
        <w:t xml:space="preserve">   （项目名称）    </w:t>
      </w:r>
      <w:r>
        <w:rPr>
          <w:rFonts w:hint="eastAsia" w:ascii="宋体" w:hAnsi="宋体" w:cs="宋体"/>
          <w:sz w:val="21"/>
          <w:szCs w:val="21"/>
        </w:rPr>
        <w:t>，以本公司名义处理一切与之有关的事务。</w:t>
      </w:r>
    </w:p>
    <w:p w14:paraId="0E42AC1B">
      <w:pPr>
        <w:spacing w:line="360" w:lineRule="auto"/>
        <w:ind w:firstLine="420" w:firstLineChars="200"/>
        <w:rPr>
          <w:rFonts w:ascii="宋体" w:hAnsi="宋体" w:cs="宋体"/>
          <w:sz w:val="21"/>
          <w:szCs w:val="21"/>
        </w:rPr>
      </w:pPr>
      <w:r>
        <w:rPr>
          <w:rFonts w:hint="eastAsia" w:ascii="宋体" w:hAnsi="宋体" w:cs="宋体"/>
          <w:sz w:val="21"/>
          <w:szCs w:val="21"/>
        </w:rPr>
        <w:t>本授权书授权期限</w:t>
      </w:r>
      <w:r>
        <w:rPr>
          <w:rFonts w:hint="eastAsia" w:ascii="宋体" w:hAnsi="宋体" w:cs="宋体"/>
          <w:sz w:val="21"/>
          <w:szCs w:val="21"/>
          <w:u w:val="single"/>
        </w:rPr>
        <w:t xml:space="preserve">                 </w:t>
      </w:r>
      <w:r>
        <w:rPr>
          <w:rFonts w:hint="eastAsia" w:ascii="宋体" w:hAnsi="宋体" w:cs="宋体"/>
          <w:sz w:val="21"/>
          <w:szCs w:val="21"/>
        </w:rPr>
        <w:t>，特此声明。</w:t>
      </w:r>
    </w:p>
    <w:p w14:paraId="428CE4E0">
      <w:pPr>
        <w:spacing w:line="360" w:lineRule="auto"/>
        <w:rPr>
          <w:rFonts w:ascii="宋体" w:hAnsi="宋体" w:cs="宋体"/>
          <w:sz w:val="21"/>
          <w:szCs w:val="21"/>
        </w:rPr>
      </w:pPr>
      <w:r>
        <w:rPr>
          <w:rFonts w:hint="eastAsia" w:ascii="宋体" w:hAnsi="宋体" w:cs="宋体"/>
          <w:sz w:val="21"/>
          <w:szCs w:val="21"/>
        </w:rPr>
        <w:t>附：法定代表人、委托代理人的身份证复印件。</w:t>
      </w:r>
    </w:p>
    <w:p w14:paraId="2677CF09">
      <w:pPr>
        <w:spacing w:line="360" w:lineRule="auto"/>
        <w:rPr>
          <w:rFonts w:ascii="宋体" w:hAnsi="宋体" w:cs="宋体"/>
          <w:sz w:val="21"/>
          <w:szCs w:val="21"/>
        </w:rPr>
      </w:pPr>
    </w:p>
    <w:p w14:paraId="2D2814CA">
      <w:pPr>
        <w:spacing w:line="360" w:lineRule="auto"/>
        <w:rPr>
          <w:rFonts w:ascii="宋体" w:hAnsi="宋体" w:cs="宋体"/>
          <w:sz w:val="21"/>
          <w:szCs w:val="21"/>
        </w:rPr>
      </w:pPr>
    </w:p>
    <w:p w14:paraId="6D60EEBA">
      <w:pPr>
        <w:spacing w:line="360" w:lineRule="auto"/>
        <w:rPr>
          <w:rFonts w:ascii="宋体" w:hAnsi="宋体" w:cs="宋体"/>
          <w:sz w:val="21"/>
          <w:szCs w:val="21"/>
        </w:rPr>
      </w:pPr>
    </w:p>
    <w:p w14:paraId="7B527FF6">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4B0718F3">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11441F7B">
      <w:pPr>
        <w:wordWrap w:val="0"/>
        <w:spacing w:line="360" w:lineRule="auto"/>
        <w:ind w:right="1470" w:firstLine="420" w:firstLineChars="200"/>
        <w:jc w:val="right"/>
        <w:rPr>
          <w:rFonts w:ascii="宋体" w:hAnsi="宋体" w:cs="宋体"/>
          <w:sz w:val="21"/>
          <w:szCs w:val="21"/>
          <w:u w:val="single"/>
        </w:rPr>
      </w:pPr>
    </w:p>
    <w:p w14:paraId="16784D8E">
      <w:pPr>
        <w:spacing w:line="360" w:lineRule="auto"/>
        <w:ind w:right="1260" w:firstLine="420" w:firstLineChars="200"/>
        <w:jc w:val="right"/>
        <w:rPr>
          <w:rFonts w:ascii="宋体" w:hAnsi="宋体" w:cs="宋体"/>
          <w:sz w:val="21"/>
          <w:szCs w:val="21"/>
          <w:u w:val="single"/>
        </w:rPr>
      </w:pPr>
    </w:p>
    <w:p w14:paraId="0B109DCA">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1A39743A">
      <w:pPr>
        <w:jc w:val="right"/>
        <w:rPr>
          <w:rFonts w:ascii="宋体" w:hAnsi="宋体" w:cs="宋体"/>
          <w:b/>
          <w:sz w:val="28"/>
        </w:rPr>
      </w:pPr>
      <w:r>
        <w:rPr>
          <w:rFonts w:hint="eastAsia" w:ascii="宋体" w:hAnsi="宋体"/>
          <w:b/>
          <w:szCs w:val="28"/>
        </w:rPr>
        <w:br w:type="page"/>
      </w:r>
    </w:p>
    <w:p w14:paraId="4CB2CBA8">
      <w:pPr>
        <w:widowControl/>
        <w:numPr>
          <w:ilvl w:val="0"/>
          <w:numId w:val="2"/>
        </w:numPr>
        <w:jc w:val="center"/>
        <w:outlineLvl w:val="1"/>
        <w:rPr>
          <w:rFonts w:ascii="宋体" w:hAnsi="宋体" w:cs="宋体"/>
          <w:b/>
          <w:sz w:val="28"/>
        </w:rPr>
      </w:pPr>
      <w:bookmarkStart w:id="1015" w:name="_Toc30982"/>
      <w:bookmarkStart w:id="1016" w:name="_Toc23736"/>
      <w:bookmarkStart w:id="1017" w:name="_Toc3364"/>
      <w:r>
        <w:rPr>
          <w:rFonts w:hint="eastAsia" w:ascii="宋体" w:hAnsi="宋体" w:cs="宋体"/>
          <w:b/>
          <w:sz w:val="28"/>
        </w:rPr>
        <w:t>投标货物分项报价表</w:t>
      </w:r>
      <w:bookmarkEnd w:id="1011"/>
      <w:bookmarkEnd w:id="1012"/>
      <w:bookmarkEnd w:id="1015"/>
      <w:bookmarkEnd w:id="1016"/>
      <w:bookmarkEnd w:id="1017"/>
    </w:p>
    <w:p w14:paraId="574C2571">
      <w:pPr>
        <w:pStyle w:val="28"/>
        <w:ind w:firstLine="0"/>
        <w:jc w:val="right"/>
        <w:rPr>
          <w:rFonts w:ascii="宋体" w:hAnsi="宋体" w:eastAsia="宋体" w:cs="宋体"/>
          <w:sz w:val="21"/>
          <w:szCs w:val="21"/>
        </w:rPr>
      </w:pPr>
      <w:r>
        <w:rPr>
          <w:rFonts w:hint="eastAsia" w:ascii="宋体" w:hAnsi="宋体" w:eastAsia="宋体" w:cs="宋体"/>
          <w:sz w:val="21"/>
          <w:szCs w:val="21"/>
        </w:rPr>
        <w:t>单位：元</w:t>
      </w:r>
    </w:p>
    <w:tbl>
      <w:tblPr>
        <w:tblStyle w:val="30"/>
        <w:tblW w:w="4990" w:type="pct"/>
        <w:jc w:val="center"/>
        <w:tblLayout w:type="autofit"/>
        <w:tblCellMar>
          <w:top w:w="0" w:type="dxa"/>
          <w:left w:w="28" w:type="dxa"/>
          <w:bottom w:w="0" w:type="dxa"/>
          <w:right w:w="28" w:type="dxa"/>
        </w:tblCellMar>
      </w:tblPr>
      <w:tblGrid>
        <w:gridCol w:w="675"/>
        <w:gridCol w:w="1449"/>
        <w:gridCol w:w="827"/>
        <w:gridCol w:w="1321"/>
        <w:gridCol w:w="1090"/>
        <w:gridCol w:w="679"/>
        <w:gridCol w:w="543"/>
        <w:gridCol w:w="1210"/>
        <w:gridCol w:w="1055"/>
        <w:gridCol w:w="877"/>
      </w:tblGrid>
      <w:tr w14:paraId="30DAB836">
        <w:tblPrEx>
          <w:tblCellMar>
            <w:top w:w="0" w:type="dxa"/>
            <w:left w:w="28" w:type="dxa"/>
            <w:bottom w:w="0" w:type="dxa"/>
            <w:right w:w="28" w:type="dxa"/>
          </w:tblCellMar>
        </w:tblPrEx>
        <w:trPr>
          <w:trHeight w:val="23" w:hRule="atLeast"/>
          <w:jc w:val="center"/>
        </w:trPr>
        <w:tc>
          <w:tcPr>
            <w:tcW w:w="347" w:type="pct"/>
            <w:tcBorders>
              <w:top w:val="single" w:color="000000" w:sz="8" w:space="0"/>
              <w:left w:val="single" w:color="000000" w:sz="8" w:space="0"/>
              <w:bottom w:val="single" w:color="000000" w:sz="6" w:space="0"/>
              <w:right w:val="single" w:color="000000" w:sz="6" w:space="0"/>
            </w:tcBorders>
            <w:vAlign w:val="center"/>
          </w:tcPr>
          <w:p w14:paraId="5665A5DC">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序号</w:t>
            </w:r>
          </w:p>
        </w:tc>
        <w:tc>
          <w:tcPr>
            <w:tcW w:w="745" w:type="pct"/>
            <w:tcBorders>
              <w:top w:val="single" w:color="000000" w:sz="8" w:space="0"/>
              <w:left w:val="single" w:color="000000" w:sz="6" w:space="0"/>
              <w:bottom w:val="single" w:color="000000" w:sz="6" w:space="0"/>
              <w:right w:val="single" w:color="000000" w:sz="6" w:space="0"/>
            </w:tcBorders>
            <w:vAlign w:val="center"/>
          </w:tcPr>
          <w:p w14:paraId="39DAF3B7">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ascii="宋体" w:hAnsi="宋体" w:cs="宋体"/>
                <w:sz w:val="21"/>
                <w:szCs w:val="21"/>
              </w:rPr>
              <w:t>货物名称</w:t>
            </w:r>
          </w:p>
        </w:tc>
        <w:tc>
          <w:tcPr>
            <w:tcW w:w="425" w:type="pct"/>
            <w:tcBorders>
              <w:top w:val="single" w:color="000000" w:sz="8" w:space="0"/>
              <w:left w:val="single" w:color="000000" w:sz="6" w:space="0"/>
              <w:bottom w:val="single" w:color="000000" w:sz="6" w:space="0"/>
              <w:right w:val="single" w:color="000000" w:sz="6" w:space="0"/>
            </w:tcBorders>
            <w:vAlign w:val="center"/>
          </w:tcPr>
          <w:p w14:paraId="7F0616C4">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品牌</w:t>
            </w:r>
          </w:p>
        </w:tc>
        <w:tc>
          <w:tcPr>
            <w:tcW w:w="679" w:type="pct"/>
            <w:tcBorders>
              <w:top w:val="single" w:color="000000" w:sz="8" w:space="0"/>
              <w:left w:val="single" w:color="000000" w:sz="6" w:space="0"/>
              <w:bottom w:val="single" w:color="000000" w:sz="6" w:space="0"/>
              <w:right w:val="single" w:color="000000" w:sz="6" w:space="0"/>
            </w:tcBorders>
            <w:vAlign w:val="center"/>
          </w:tcPr>
          <w:p w14:paraId="51144673">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规格型号</w:t>
            </w:r>
          </w:p>
        </w:tc>
        <w:tc>
          <w:tcPr>
            <w:tcW w:w="560" w:type="pct"/>
            <w:tcBorders>
              <w:top w:val="single" w:color="000000" w:sz="8" w:space="0"/>
              <w:left w:val="single" w:color="000000" w:sz="6" w:space="0"/>
              <w:bottom w:val="single" w:color="000000" w:sz="6" w:space="0"/>
              <w:right w:val="single" w:color="000000" w:sz="6" w:space="0"/>
            </w:tcBorders>
            <w:vAlign w:val="center"/>
          </w:tcPr>
          <w:p w14:paraId="0198BBC5">
            <w:pPr>
              <w:autoSpaceDE w:val="0"/>
              <w:autoSpaceDN w:val="0"/>
              <w:spacing w:line="480" w:lineRule="exact"/>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制造商</w:t>
            </w:r>
          </w:p>
        </w:tc>
        <w:tc>
          <w:tcPr>
            <w:tcW w:w="349" w:type="pct"/>
            <w:tcBorders>
              <w:top w:val="single" w:color="000000" w:sz="8" w:space="0"/>
              <w:left w:val="single" w:color="000000" w:sz="6" w:space="0"/>
              <w:bottom w:val="single" w:color="000000" w:sz="6" w:space="0"/>
              <w:right w:val="single" w:color="000000" w:sz="6" w:space="0"/>
            </w:tcBorders>
            <w:vAlign w:val="center"/>
          </w:tcPr>
          <w:p w14:paraId="21A5083A">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数量</w:t>
            </w:r>
          </w:p>
        </w:tc>
        <w:tc>
          <w:tcPr>
            <w:tcW w:w="279" w:type="pct"/>
            <w:tcBorders>
              <w:top w:val="single" w:color="000000" w:sz="8" w:space="0"/>
              <w:left w:val="single" w:color="000000" w:sz="6" w:space="0"/>
              <w:bottom w:val="single" w:color="000000" w:sz="6" w:space="0"/>
              <w:right w:val="single" w:color="000000" w:sz="6" w:space="0"/>
            </w:tcBorders>
            <w:vAlign w:val="center"/>
          </w:tcPr>
          <w:p w14:paraId="5B9E84E3">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单位</w:t>
            </w:r>
          </w:p>
        </w:tc>
        <w:tc>
          <w:tcPr>
            <w:tcW w:w="622" w:type="pct"/>
            <w:tcBorders>
              <w:top w:val="single" w:color="000000" w:sz="8" w:space="0"/>
              <w:left w:val="single" w:color="000000" w:sz="6" w:space="0"/>
              <w:bottom w:val="single" w:color="000000" w:sz="6" w:space="0"/>
              <w:right w:val="single" w:color="000000" w:sz="6" w:space="0"/>
            </w:tcBorders>
            <w:vAlign w:val="center"/>
          </w:tcPr>
          <w:p w14:paraId="5B2884F9">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单价（</w:t>
            </w:r>
            <w:r>
              <w:rPr>
                <w:rFonts w:hint="eastAsia" w:cs="宋体" w:asciiTheme="minorEastAsia" w:hAnsiTheme="minorEastAsia" w:eastAsiaTheme="minorEastAsia"/>
                <w:kern w:val="0"/>
                <w:sz w:val="21"/>
                <w:szCs w:val="21"/>
              </w:rPr>
              <w:t>元</w:t>
            </w:r>
            <w:r>
              <w:rPr>
                <w:rFonts w:hint="eastAsia" w:cs="宋体" w:asciiTheme="minorEastAsia" w:hAnsiTheme="minorEastAsia" w:eastAsiaTheme="minorEastAsia"/>
                <w:kern w:val="0"/>
                <w:sz w:val="21"/>
                <w:szCs w:val="21"/>
                <w:lang w:val="zh-CN"/>
              </w:rPr>
              <w:t>）</w:t>
            </w:r>
          </w:p>
        </w:tc>
        <w:tc>
          <w:tcPr>
            <w:tcW w:w="542" w:type="pct"/>
            <w:tcBorders>
              <w:top w:val="single" w:color="000000" w:sz="8" w:space="0"/>
              <w:left w:val="single" w:color="000000" w:sz="6" w:space="0"/>
              <w:bottom w:val="single" w:color="000000" w:sz="6" w:space="0"/>
              <w:right w:val="single" w:color="000000" w:sz="6" w:space="0"/>
            </w:tcBorders>
            <w:vAlign w:val="center"/>
          </w:tcPr>
          <w:p w14:paraId="40FFB96F">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合计（</w:t>
            </w:r>
            <w:r>
              <w:rPr>
                <w:rFonts w:hint="eastAsia" w:cs="宋体" w:asciiTheme="minorEastAsia" w:hAnsiTheme="minorEastAsia" w:eastAsiaTheme="minorEastAsia"/>
                <w:kern w:val="0"/>
                <w:sz w:val="21"/>
                <w:szCs w:val="21"/>
              </w:rPr>
              <w:t>元</w:t>
            </w:r>
            <w:r>
              <w:rPr>
                <w:rFonts w:hint="eastAsia" w:cs="宋体" w:asciiTheme="minorEastAsia" w:hAnsiTheme="minorEastAsia" w:eastAsiaTheme="minorEastAsia"/>
                <w:kern w:val="0"/>
                <w:sz w:val="21"/>
                <w:szCs w:val="21"/>
                <w:lang w:val="zh-CN"/>
              </w:rPr>
              <w:t>）</w:t>
            </w:r>
          </w:p>
        </w:tc>
        <w:tc>
          <w:tcPr>
            <w:tcW w:w="448" w:type="pct"/>
            <w:tcBorders>
              <w:top w:val="single" w:color="000000" w:sz="8" w:space="0"/>
              <w:left w:val="single" w:color="000000" w:sz="6" w:space="0"/>
              <w:bottom w:val="single" w:color="000000" w:sz="6" w:space="0"/>
              <w:right w:val="single" w:color="000000" w:sz="8" w:space="0"/>
            </w:tcBorders>
            <w:vAlign w:val="center"/>
          </w:tcPr>
          <w:p w14:paraId="23B25F09">
            <w:pPr>
              <w:autoSpaceDE w:val="0"/>
              <w:autoSpaceDN w:val="0"/>
              <w:spacing w:line="480" w:lineRule="exact"/>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备注</w:t>
            </w:r>
          </w:p>
        </w:tc>
      </w:tr>
      <w:tr w14:paraId="0E472465">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6B1D1326">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4C79BCFE">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4055E40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11CA298C">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6272EE1E">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33D91DEF">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71DFAA0">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37A39029">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76449904">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57AA5138">
            <w:pPr>
              <w:autoSpaceDE w:val="0"/>
              <w:autoSpaceDN w:val="0"/>
              <w:spacing w:line="480" w:lineRule="exact"/>
              <w:jc w:val="center"/>
              <w:rPr>
                <w:rFonts w:cs="宋体" w:asciiTheme="minorEastAsia" w:hAnsiTheme="minorEastAsia" w:eastAsiaTheme="minorEastAsia"/>
                <w:kern w:val="0"/>
                <w:sz w:val="21"/>
                <w:szCs w:val="21"/>
                <w:lang w:val="zh-CN"/>
              </w:rPr>
            </w:pPr>
          </w:p>
        </w:tc>
      </w:tr>
      <w:tr w14:paraId="7A83ABF6">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25A03548">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5BACCC2B">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5C0FB9F1">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297CC72C">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5009A6F0">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2B1EC5DF">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A5A706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3B5A52FA">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5707E070">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24CB9F55">
            <w:pPr>
              <w:autoSpaceDE w:val="0"/>
              <w:autoSpaceDN w:val="0"/>
              <w:spacing w:line="480" w:lineRule="exact"/>
              <w:jc w:val="center"/>
              <w:rPr>
                <w:rFonts w:cs="宋体" w:asciiTheme="minorEastAsia" w:hAnsiTheme="minorEastAsia" w:eastAsiaTheme="minorEastAsia"/>
                <w:kern w:val="0"/>
                <w:sz w:val="21"/>
                <w:szCs w:val="21"/>
                <w:lang w:val="zh-CN"/>
              </w:rPr>
            </w:pPr>
          </w:p>
        </w:tc>
      </w:tr>
      <w:tr w14:paraId="2719F1CC">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422A6E3D">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143D3AD1">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3CBF9223">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4F20BD50">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575078C8">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6556B2B6">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56B0F2CB">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4745BB2F">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2A91CE2F">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243B38FD">
            <w:pPr>
              <w:autoSpaceDE w:val="0"/>
              <w:autoSpaceDN w:val="0"/>
              <w:spacing w:line="480" w:lineRule="exact"/>
              <w:jc w:val="center"/>
              <w:rPr>
                <w:rFonts w:cs="宋体" w:asciiTheme="minorEastAsia" w:hAnsiTheme="minorEastAsia" w:eastAsiaTheme="minorEastAsia"/>
                <w:kern w:val="0"/>
                <w:sz w:val="21"/>
                <w:szCs w:val="21"/>
                <w:lang w:val="zh-CN"/>
              </w:rPr>
            </w:pPr>
          </w:p>
        </w:tc>
      </w:tr>
      <w:tr w14:paraId="330B592B">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3328866A">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6AF2B918">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405CBA45">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710569AB">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2820DC2A">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1664A979">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5016852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0EC5DA6E">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601E4440">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3A0204A7">
            <w:pPr>
              <w:autoSpaceDE w:val="0"/>
              <w:autoSpaceDN w:val="0"/>
              <w:spacing w:line="480" w:lineRule="exact"/>
              <w:jc w:val="center"/>
              <w:rPr>
                <w:rFonts w:cs="宋体" w:asciiTheme="minorEastAsia" w:hAnsiTheme="minorEastAsia" w:eastAsiaTheme="minorEastAsia"/>
                <w:kern w:val="0"/>
                <w:sz w:val="21"/>
                <w:szCs w:val="21"/>
                <w:lang w:val="zh-CN"/>
              </w:rPr>
            </w:pPr>
          </w:p>
        </w:tc>
      </w:tr>
      <w:tr w14:paraId="4C5DEC33">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2A0C421B">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494EC5E1">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0BD6EA77">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164467D6">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6F3805AA">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3DCD7BB5">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22B54B4">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0AFBD605">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32840E47">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5E178EDC">
            <w:pPr>
              <w:autoSpaceDE w:val="0"/>
              <w:autoSpaceDN w:val="0"/>
              <w:spacing w:line="480" w:lineRule="exact"/>
              <w:jc w:val="center"/>
              <w:rPr>
                <w:rFonts w:cs="宋体" w:asciiTheme="minorEastAsia" w:hAnsiTheme="minorEastAsia" w:eastAsiaTheme="minorEastAsia"/>
                <w:kern w:val="0"/>
                <w:sz w:val="21"/>
                <w:szCs w:val="21"/>
                <w:lang w:val="zh-CN"/>
              </w:rPr>
            </w:pPr>
          </w:p>
        </w:tc>
      </w:tr>
      <w:tr w14:paraId="5779C662">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8" w:space="0"/>
            </w:tcBorders>
            <w:vAlign w:val="center"/>
          </w:tcPr>
          <w:p w14:paraId="3105FE0E">
            <w:pPr>
              <w:autoSpaceDE w:val="0"/>
              <w:autoSpaceDN w:val="0"/>
              <w:spacing w:line="480" w:lineRule="exact"/>
              <w:ind w:firstLine="840" w:firstLineChars="400"/>
              <w:rPr>
                <w:rFonts w:cs="宋体" w:asciiTheme="minorEastAsia" w:hAnsiTheme="minorEastAsia" w:eastAsiaTheme="minorEastAsia"/>
                <w:kern w:val="0"/>
                <w:sz w:val="21"/>
                <w:szCs w:val="21"/>
                <w:lang w:val="zh-CN"/>
              </w:rPr>
            </w:pPr>
          </w:p>
        </w:tc>
        <w:tc>
          <w:tcPr>
            <w:tcW w:w="4652" w:type="pct"/>
            <w:gridSpan w:val="9"/>
            <w:tcBorders>
              <w:top w:val="single" w:color="000000" w:sz="6" w:space="0"/>
              <w:left w:val="single" w:color="000000" w:sz="8" w:space="0"/>
              <w:bottom w:val="single" w:color="000000" w:sz="6" w:space="0"/>
              <w:right w:val="single" w:color="000000" w:sz="8" w:space="0"/>
            </w:tcBorders>
            <w:vAlign w:val="center"/>
          </w:tcPr>
          <w:p w14:paraId="4788E4D9">
            <w:pPr>
              <w:autoSpaceDE w:val="0"/>
              <w:autoSpaceDN w:val="0"/>
              <w:spacing w:line="480" w:lineRule="exact"/>
              <w:ind w:firstLine="840" w:firstLineChars="400"/>
              <w:rPr>
                <w:rFonts w:cs="宋体" w:asciiTheme="minorEastAsia" w:hAnsiTheme="minorEastAsia" w:eastAsiaTheme="minorEastAsia"/>
                <w:kern w:val="0"/>
                <w:sz w:val="21"/>
                <w:szCs w:val="21"/>
                <w:u w:val="single"/>
                <w:lang w:val="zh-CN"/>
              </w:rPr>
            </w:pPr>
            <w:r>
              <w:rPr>
                <w:rFonts w:hint="eastAsia" w:cs="宋体" w:asciiTheme="minorEastAsia" w:hAnsiTheme="minorEastAsia" w:eastAsiaTheme="minorEastAsia"/>
                <w:kern w:val="0"/>
                <w:sz w:val="21"/>
                <w:szCs w:val="21"/>
                <w:lang w:val="zh-CN"/>
              </w:rPr>
              <w:t>投标总价（大写）：</w:t>
            </w:r>
            <w:r>
              <w:rPr>
                <w:rFonts w:hint="eastAsia"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lang w:val="zh-CN"/>
              </w:rPr>
              <w:t xml:space="preserve">   </w:t>
            </w:r>
            <w:r>
              <w:rPr>
                <w:rFonts w:hint="eastAsia" w:cs="宋体" w:asciiTheme="minorEastAsia" w:hAnsiTheme="minorEastAsia" w:eastAsiaTheme="minorEastAsia"/>
                <w:kern w:val="0"/>
                <w:sz w:val="21"/>
                <w:szCs w:val="21"/>
              </w:rPr>
              <w:t>¥</w:t>
            </w:r>
            <w:r>
              <w:rPr>
                <w:rFonts w:hint="eastAsia"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u w:val="single"/>
                <w:lang w:val="zh-CN"/>
              </w:rPr>
              <w:t xml:space="preserve">                  </w:t>
            </w:r>
          </w:p>
        </w:tc>
      </w:tr>
    </w:tbl>
    <w:p w14:paraId="384FEB78">
      <w:pPr>
        <w:rPr>
          <w:sz w:val="21"/>
          <w:szCs w:val="21"/>
        </w:rPr>
      </w:pPr>
    </w:p>
    <w:p w14:paraId="033FAE5B">
      <w:pPr>
        <w:pStyle w:val="28"/>
        <w:rPr>
          <w:rFonts w:asciiTheme="minorEastAsia" w:hAnsiTheme="minorEastAsia" w:eastAsiaTheme="minorEastAsia" w:cstheme="minorEastAsia"/>
          <w:sz w:val="21"/>
          <w:szCs w:val="21"/>
        </w:rPr>
      </w:pPr>
    </w:p>
    <w:p w14:paraId="45C3DA2A">
      <w:pPr>
        <w:pStyle w:val="28"/>
        <w:rPr>
          <w:rFonts w:asciiTheme="minorEastAsia" w:hAnsiTheme="minorEastAsia" w:eastAsiaTheme="minorEastAsia" w:cstheme="minorEastAsia"/>
          <w:sz w:val="21"/>
          <w:szCs w:val="21"/>
        </w:rPr>
      </w:pPr>
    </w:p>
    <w:p w14:paraId="0281AF0E">
      <w:pPr>
        <w:pStyle w:val="28"/>
        <w:rPr>
          <w:rFonts w:asciiTheme="minorEastAsia" w:hAnsiTheme="minorEastAsia" w:eastAsiaTheme="minorEastAsia" w:cstheme="minorEastAsia"/>
          <w:sz w:val="21"/>
          <w:szCs w:val="21"/>
        </w:rPr>
      </w:pPr>
    </w:p>
    <w:p w14:paraId="6CDD5305">
      <w:pPr>
        <w:pStyle w:val="28"/>
        <w:rPr>
          <w:rFonts w:asciiTheme="minorEastAsia" w:hAnsiTheme="minorEastAsia" w:eastAsiaTheme="minorEastAsia" w:cstheme="minorEastAsia"/>
          <w:sz w:val="21"/>
          <w:szCs w:val="21"/>
        </w:rPr>
      </w:pPr>
    </w:p>
    <w:p w14:paraId="01C801F4">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D3D6B86">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352BA1AB">
      <w:pPr>
        <w:wordWrap w:val="0"/>
        <w:spacing w:line="360" w:lineRule="auto"/>
        <w:ind w:right="1470" w:firstLine="420" w:firstLineChars="200"/>
        <w:jc w:val="right"/>
        <w:rPr>
          <w:rFonts w:ascii="宋体" w:hAnsi="宋体" w:cs="宋体"/>
          <w:sz w:val="21"/>
          <w:szCs w:val="21"/>
          <w:u w:val="single"/>
        </w:rPr>
      </w:pPr>
    </w:p>
    <w:p w14:paraId="6FF14423">
      <w:pPr>
        <w:spacing w:line="360" w:lineRule="auto"/>
        <w:ind w:right="1260" w:firstLine="420" w:firstLineChars="200"/>
        <w:jc w:val="right"/>
        <w:rPr>
          <w:rFonts w:ascii="宋体" w:hAnsi="宋体" w:cs="宋体"/>
          <w:sz w:val="21"/>
          <w:szCs w:val="21"/>
          <w:u w:val="single"/>
        </w:rPr>
      </w:pPr>
    </w:p>
    <w:p w14:paraId="10E00F98">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7759675B">
      <w:pPr>
        <w:spacing w:line="360" w:lineRule="auto"/>
        <w:ind w:right="1260" w:firstLine="480" w:firstLineChars="200"/>
        <w:jc w:val="right"/>
        <w:rPr>
          <w:rFonts w:ascii="宋体" w:hAnsi="宋体" w:cs="宋体"/>
          <w:sz w:val="21"/>
          <w:szCs w:val="21"/>
        </w:rPr>
      </w:pPr>
      <w:r>
        <w:rPr>
          <w:rFonts w:hint="eastAsia" w:ascii="宋体" w:hAnsi="宋体" w:cs="宋体"/>
          <w:szCs w:val="28"/>
        </w:rPr>
        <w:br w:type="page"/>
      </w:r>
      <w:bookmarkStart w:id="1018" w:name="_Toc11838"/>
      <w:bookmarkStart w:id="1019" w:name="_Toc29801"/>
      <w:bookmarkStart w:id="1020" w:name="_Toc30889"/>
      <w:bookmarkStart w:id="1021" w:name="_Toc22599"/>
      <w:bookmarkStart w:id="1022" w:name="_Toc15067"/>
      <w:bookmarkStart w:id="1023" w:name="_Toc15573_WPSOffice_Level3"/>
      <w:bookmarkStart w:id="1024" w:name="_Toc23213"/>
      <w:bookmarkStart w:id="1025" w:name="_Toc22992"/>
      <w:bookmarkStart w:id="1026" w:name="_Toc11203"/>
      <w:bookmarkStart w:id="1027" w:name="_Toc21657"/>
      <w:bookmarkStart w:id="1028" w:name="_Toc2809"/>
      <w:bookmarkStart w:id="1029" w:name="_Toc17549"/>
      <w:bookmarkStart w:id="1030" w:name="_Toc12237"/>
      <w:bookmarkStart w:id="1031" w:name="_Toc26099"/>
      <w:bookmarkStart w:id="1032" w:name="_Toc2385"/>
      <w:bookmarkStart w:id="1033" w:name="_Toc5830"/>
      <w:bookmarkStart w:id="1034" w:name="_Toc19031"/>
      <w:bookmarkStart w:id="1035" w:name="_Toc7810"/>
      <w:bookmarkStart w:id="1036" w:name="_Toc5796"/>
      <w:bookmarkStart w:id="1037" w:name="_Toc8838"/>
      <w:bookmarkStart w:id="1038" w:name="_Toc5479"/>
    </w:p>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14:paraId="1E5ED6A3">
      <w:pPr>
        <w:pStyle w:val="4"/>
        <w:spacing w:line="400" w:lineRule="exact"/>
        <w:ind w:firstLine="562"/>
        <w:jc w:val="center"/>
        <w:rPr>
          <w:rFonts w:ascii="宋体" w:hAnsi="宋体" w:cs="宋体"/>
          <w:szCs w:val="28"/>
        </w:rPr>
      </w:pPr>
      <w:bookmarkStart w:id="1039" w:name="_Toc7151"/>
      <w:bookmarkStart w:id="1040" w:name="_Toc24146"/>
      <w:bookmarkStart w:id="1041" w:name="_Toc2136"/>
      <w:bookmarkStart w:id="1042" w:name="_Toc54032277"/>
      <w:bookmarkStart w:id="1043" w:name="_Toc15457380"/>
      <w:r>
        <w:rPr>
          <w:rFonts w:hint="eastAsia" w:ascii="宋体" w:hAnsi="宋体" w:cs="宋体"/>
          <w:szCs w:val="28"/>
        </w:rPr>
        <w:t>五、技术参数响应/偏离表</w:t>
      </w:r>
      <w:bookmarkEnd w:id="1039"/>
      <w:bookmarkEnd w:id="1040"/>
      <w:bookmarkEnd w:id="1041"/>
      <w:bookmarkEnd w:id="1042"/>
      <w:bookmarkEnd w:id="1043"/>
    </w:p>
    <w:tbl>
      <w:tblPr>
        <w:tblStyle w:val="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1615"/>
        <w:gridCol w:w="2646"/>
        <w:gridCol w:w="2360"/>
        <w:gridCol w:w="2442"/>
      </w:tblGrid>
      <w:tr w14:paraId="3D70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425" w:type="pct"/>
            <w:vAlign w:val="center"/>
          </w:tcPr>
          <w:p w14:paraId="20609777">
            <w:pPr>
              <w:spacing w:line="432" w:lineRule="auto"/>
              <w:jc w:val="center"/>
              <w:rPr>
                <w:rFonts w:ascii="宋体" w:hAnsi="宋体" w:cs="宋体"/>
                <w:sz w:val="21"/>
                <w:szCs w:val="21"/>
              </w:rPr>
            </w:pPr>
            <w:r>
              <w:rPr>
                <w:rFonts w:hint="eastAsia" w:ascii="宋体" w:hAnsi="宋体" w:cs="宋体"/>
                <w:sz w:val="21"/>
                <w:szCs w:val="21"/>
              </w:rPr>
              <w:t>序号</w:t>
            </w:r>
          </w:p>
        </w:tc>
        <w:tc>
          <w:tcPr>
            <w:tcW w:w="815" w:type="pct"/>
            <w:vAlign w:val="center"/>
          </w:tcPr>
          <w:p w14:paraId="0354760C">
            <w:pPr>
              <w:spacing w:line="432" w:lineRule="auto"/>
              <w:jc w:val="center"/>
              <w:rPr>
                <w:rFonts w:ascii="宋体" w:hAnsi="宋体" w:cs="宋体"/>
                <w:sz w:val="21"/>
                <w:szCs w:val="21"/>
              </w:rPr>
            </w:pPr>
            <w:r>
              <w:rPr>
                <w:rFonts w:hint="eastAsia" w:ascii="宋体" w:hAnsi="宋体" w:cs="宋体"/>
                <w:sz w:val="21"/>
                <w:szCs w:val="21"/>
              </w:rPr>
              <w:t>产品名称</w:t>
            </w:r>
          </w:p>
        </w:tc>
        <w:tc>
          <w:tcPr>
            <w:tcW w:w="1335" w:type="pct"/>
            <w:vAlign w:val="center"/>
          </w:tcPr>
          <w:p w14:paraId="1EB5A336">
            <w:pPr>
              <w:spacing w:line="432" w:lineRule="auto"/>
              <w:jc w:val="center"/>
              <w:rPr>
                <w:rFonts w:ascii="宋体" w:hAnsi="宋体" w:cs="宋体"/>
                <w:sz w:val="21"/>
                <w:szCs w:val="21"/>
              </w:rPr>
            </w:pPr>
            <w:r>
              <w:rPr>
                <w:rFonts w:hint="eastAsia" w:ascii="宋体" w:hAnsi="宋体" w:cs="宋体"/>
                <w:sz w:val="21"/>
                <w:szCs w:val="21"/>
              </w:rPr>
              <w:t>招标文件技术参数要求</w:t>
            </w:r>
          </w:p>
        </w:tc>
        <w:tc>
          <w:tcPr>
            <w:tcW w:w="1191" w:type="pct"/>
            <w:vAlign w:val="center"/>
          </w:tcPr>
          <w:p w14:paraId="45764DB1">
            <w:pPr>
              <w:spacing w:line="432" w:lineRule="auto"/>
              <w:jc w:val="center"/>
              <w:rPr>
                <w:rFonts w:ascii="宋体" w:hAnsi="宋体" w:cs="宋体"/>
                <w:sz w:val="21"/>
                <w:szCs w:val="21"/>
              </w:rPr>
            </w:pPr>
            <w:r>
              <w:rPr>
                <w:rFonts w:hint="eastAsia" w:ascii="宋体" w:hAnsi="宋体" w:cs="宋体"/>
                <w:sz w:val="21"/>
                <w:szCs w:val="21"/>
              </w:rPr>
              <w:t>投标文件响应内容</w:t>
            </w:r>
          </w:p>
        </w:tc>
        <w:tc>
          <w:tcPr>
            <w:tcW w:w="1232" w:type="pct"/>
            <w:vAlign w:val="center"/>
          </w:tcPr>
          <w:p w14:paraId="7427C617">
            <w:pPr>
              <w:spacing w:line="432" w:lineRule="auto"/>
              <w:jc w:val="center"/>
              <w:rPr>
                <w:rFonts w:ascii="宋体" w:hAnsi="宋体" w:cs="宋体"/>
                <w:sz w:val="21"/>
                <w:szCs w:val="21"/>
              </w:rPr>
            </w:pPr>
            <w:r>
              <w:rPr>
                <w:rFonts w:hint="eastAsia" w:ascii="宋体" w:hAnsi="宋体" w:cs="宋体"/>
                <w:sz w:val="21"/>
                <w:szCs w:val="21"/>
              </w:rPr>
              <w:t>偏离情况说明</w:t>
            </w:r>
          </w:p>
        </w:tc>
      </w:tr>
      <w:tr w14:paraId="4A0B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25" w:type="pct"/>
          </w:tcPr>
          <w:p w14:paraId="2430C19D">
            <w:pPr>
              <w:spacing w:line="432" w:lineRule="auto"/>
              <w:rPr>
                <w:rFonts w:ascii="宋体" w:hAnsi="宋体" w:cs="宋体"/>
                <w:sz w:val="21"/>
                <w:szCs w:val="21"/>
              </w:rPr>
            </w:pPr>
          </w:p>
        </w:tc>
        <w:tc>
          <w:tcPr>
            <w:tcW w:w="815" w:type="pct"/>
          </w:tcPr>
          <w:p w14:paraId="15094385">
            <w:pPr>
              <w:spacing w:line="432" w:lineRule="auto"/>
              <w:rPr>
                <w:rFonts w:ascii="宋体" w:hAnsi="宋体" w:cs="宋体"/>
                <w:sz w:val="21"/>
                <w:szCs w:val="21"/>
              </w:rPr>
            </w:pPr>
          </w:p>
        </w:tc>
        <w:tc>
          <w:tcPr>
            <w:tcW w:w="1335" w:type="pct"/>
          </w:tcPr>
          <w:p w14:paraId="68771A93">
            <w:pPr>
              <w:spacing w:line="432" w:lineRule="auto"/>
              <w:rPr>
                <w:rFonts w:ascii="宋体" w:hAnsi="宋体" w:cs="宋体"/>
                <w:sz w:val="21"/>
                <w:szCs w:val="21"/>
              </w:rPr>
            </w:pPr>
          </w:p>
        </w:tc>
        <w:tc>
          <w:tcPr>
            <w:tcW w:w="1191" w:type="pct"/>
          </w:tcPr>
          <w:p w14:paraId="01C37934">
            <w:pPr>
              <w:spacing w:line="432" w:lineRule="auto"/>
              <w:rPr>
                <w:rFonts w:ascii="宋体" w:hAnsi="宋体" w:cs="宋体"/>
                <w:sz w:val="21"/>
                <w:szCs w:val="21"/>
              </w:rPr>
            </w:pPr>
          </w:p>
        </w:tc>
        <w:tc>
          <w:tcPr>
            <w:tcW w:w="1232" w:type="pct"/>
          </w:tcPr>
          <w:p w14:paraId="59DB69ED">
            <w:pPr>
              <w:spacing w:line="432" w:lineRule="auto"/>
              <w:rPr>
                <w:rFonts w:ascii="宋体" w:hAnsi="宋体" w:cs="宋体"/>
                <w:sz w:val="21"/>
                <w:szCs w:val="21"/>
              </w:rPr>
            </w:pPr>
          </w:p>
        </w:tc>
      </w:tr>
      <w:tr w14:paraId="5A35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331BC591">
            <w:pPr>
              <w:spacing w:line="432" w:lineRule="auto"/>
              <w:rPr>
                <w:rFonts w:ascii="宋体" w:hAnsi="宋体" w:cs="宋体"/>
                <w:sz w:val="21"/>
                <w:szCs w:val="21"/>
              </w:rPr>
            </w:pPr>
          </w:p>
        </w:tc>
        <w:tc>
          <w:tcPr>
            <w:tcW w:w="815" w:type="pct"/>
          </w:tcPr>
          <w:p w14:paraId="1BB6F870">
            <w:pPr>
              <w:spacing w:line="432" w:lineRule="auto"/>
              <w:rPr>
                <w:rFonts w:ascii="宋体" w:hAnsi="宋体" w:cs="宋体"/>
                <w:sz w:val="21"/>
                <w:szCs w:val="21"/>
              </w:rPr>
            </w:pPr>
          </w:p>
        </w:tc>
        <w:tc>
          <w:tcPr>
            <w:tcW w:w="1335" w:type="pct"/>
          </w:tcPr>
          <w:p w14:paraId="6BC57BC2">
            <w:pPr>
              <w:spacing w:line="432" w:lineRule="auto"/>
              <w:rPr>
                <w:rFonts w:ascii="宋体" w:hAnsi="宋体" w:cs="宋体"/>
                <w:sz w:val="21"/>
                <w:szCs w:val="21"/>
              </w:rPr>
            </w:pPr>
          </w:p>
        </w:tc>
        <w:tc>
          <w:tcPr>
            <w:tcW w:w="1191" w:type="pct"/>
          </w:tcPr>
          <w:p w14:paraId="3CFB0FC6">
            <w:pPr>
              <w:spacing w:line="432" w:lineRule="auto"/>
              <w:rPr>
                <w:rFonts w:ascii="宋体" w:hAnsi="宋体" w:cs="宋体"/>
                <w:sz w:val="21"/>
                <w:szCs w:val="21"/>
              </w:rPr>
            </w:pPr>
          </w:p>
        </w:tc>
        <w:tc>
          <w:tcPr>
            <w:tcW w:w="1232" w:type="pct"/>
          </w:tcPr>
          <w:p w14:paraId="406AEF2B">
            <w:pPr>
              <w:spacing w:line="432" w:lineRule="auto"/>
              <w:rPr>
                <w:rFonts w:ascii="宋体" w:hAnsi="宋体" w:cs="宋体"/>
                <w:sz w:val="21"/>
                <w:szCs w:val="21"/>
              </w:rPr>
            </w:pPr>
          </w:p>
        </w:tc>
      </w:tr>
      <w:tr w14:paraId="458B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533D03B0">
            <w:pPr>
              <w:spacing w:line="432" w:lineRule="auto"/>
              <w:rPr>
                <w:rFonts w:ascii="宋体" w:hAnsi="宋体" w:cs="宋体"/>
                <w:sz w:val="21"/>
                <w:szCs w:val="21"/>
              </w:rPr>
            </w:pPr>
          </w:p>
        </w:tc>
        <w:tc>
          <w:tcPr>
            <w:tcW w:w="815" w:type="pct"/>
          </w:tcPr>
          <w:p w14:paraId="27122ACE">
            <w:pPr>
              <w:spacing w:line="432" w:lineRule="auto"/>
              <w:rPr>
                <w:rFonts w:ascii="宋体" w:hAnsi="宋体" w:cs="宋体"/>
                <w:sz w:val="21"/>
                <w:szCs w:val="21"/>
              </w:rPr>
            </w:pPr>
          </w:p>
        </w:tc>
        <w:tc>
          <w:tcPr>
            <w:tcW w:w="1335" w:type="pct"/>
          </w:tcPr>
          <w:p w14:paraId="52441701">
            <w:pPr>
              <w:spacing w:line="432" w:lineRule="auto"/>
              <w:rPr>
                <w:rFonts w:ascii="宋体" w:hAnsi="宋体" w:cs="宋体"/>
                <w:sz w:val="21"/>
                <w:szCs w:val="21"/>
              </w:rPr>
            </w:pPr>
          </w:p>
        </w:tc>
        <w:tc>
          <w:tcPr>
            <w:tcW w:w="1191" w:type="pct"/>
          </w:tcPr>
          <w:p w14:paraId="391D26A5">
            <w:pPr>
              <w:spacing w:line="432" w:lineRule="auto"/>
              <w:rPr>
                <w:rFonts w:ascii="宋体" w:hAnsi="宋体" w:cs="宋体"/>
                <w:sz w:val="21"/>
                <w:szCs w:val="21"/>
              </w:rPr>
            </w:pPr>
          </w:p>
        </w:tc>
        <w:tc>
          <w:tcPr>
            <w:tcW w:w="1232" w:type="pct"/>
          </w:tcPr>
          <w:p w14:paraId="2E7B863D">
            <w:pPr>
              <w:spacing w:line="432" w:lineRule="auto"/>
              <w:rPr>
                <w:rFonts w:ascii="宋体" w:hAnsi="宋体" w:cs="宋体"/>
                <w:sz w:val="21"/>
                <w:szCs w:val="21"/>
              </w:rPr>
            </w:pPr>
          </w:p>
        </w:tc>
      </w:tr>
      <w:tr w14:paraId="2802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6693F652">
            <w:pPr>
              <w:spacing w:line="432" w:lineRule="auto"/>
              <w:rPr>
                <w:rFonts w:ascii="宋体" w:hAnsi="宋体" w:cs="宋体"/>
                <w:sz w:val="21"/>
                <w:szCs w:val="21"/>
              </w:rPr>
            </w:pPr>
          </w:p>
        </w:tc>
        <w:tc>
          <w:tcPr>
            <w:tcW w:w="815" w:type="pct"/>
          </w:tcPr>
          <w:p w14:paraId="4EB5D8B1">
            <w:pPr>
              <w:spacing w:line="432" w:lineRule="auto"/>
              <w:rPr>
                <w:rFonts w:ascii="宋体" w:hAnsi="宋体" w:cs="宋体"/>
                <w:sz w:val="21"/>
                <w:szCs w:val="21"/>
              </w:rPr>
            </w:pPr>
          </w:p>
        </w:tc>
        <w:tc>
          <w:tcPr>
            <w:tcW w:w="1335" w:type="pct"/>
          </w:tcPr>
          <w:p w14:paraId="379ABDF7">
            <w:pPr>
              <w:spacing w:line="432" w:lineRule="auto"/>
              <w:rPr>
                <w:rFonts w:ascii="宋体" w:hAnsi="宋体" w:cs="宋体"/>
                <w:sz w:val="21"/>
                <w:szCs w:val="21"/>
              </w:rPr>
            </w:pPr>
          </w:p>
        </w:tc>
        <w:tc>
          <w:tcPr>
            <w:tcW w:w="1191" w:type="pct"/>
          </w:tcPr>
          <w:p w14:paraId="1593BE1E">
            <w:pPr>
              <w:spacing w:line="432" w:lineRule="auto"/>
              <w:rPr>
                <w:rFonts w:ascii="宋体" w:hAnsi="宋体" w:cs="宋体"/>
                <w:sz w:val="21"/>
                <w:szCs w:val="21"/>
              </w:rPr>
            </w:pPr>
          </w:p>
        </w:tc>
        <w:tc>
          <w:tcPr>
            <w:tcW w:w="1232" w:type="pct"/>
          </w:tcPr>
          <w:p w14:paraId="0415CE47">
            <w:pPr>
              <w:spacing w:line="432" w:lineRule="auto"/>
              <w:rPr>
                <w:rFonts w:ascii="宋体" w:hAnsi="宋体" w:cs="宋体"/>
                <w:sz w:val="21"/>
                <w:szCs w:val="21"/>
              </w:rPr>
            </w:pPr>
          </w:p>
        </w:tc>
      </w:tr>
      <w:tr w14:paraId="1C4CB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25" w:type="pct"/>
          </w:tcPr>
          <w:p w14:paraId="2FA33751">
            <w:pPr>
              <w:spacing w:line="432" w:lineRule="auto"/>
              <w:rPr>
                <w:rFonts w:ascii="宋体" w:hAnsi="宋体" w:cs="宋体"/>
                <w:sz w:val="21"/>
                <w:szCs w:val="21"/>
              </w:rPr>
            </w:pPr>
          </w:p>
        </w:tc>
        <w:tc>
          <w:tcPr>
            <w:tcW w:w="815" w:type="pct"/>
          </w:tcPr>
          <w:p w14:paraId="4884EFDD">
            <w:pPr>
              <w:spacing w:line="432" w:lineRule="auto"/>
              <w:rPr>
                <w:rFonts w:ascii="宋体" w:hAnsi="宋体" w:cs="宋体"/>
                <w:sz w:val="21"/>
                <w:szCs w:val="21"/>
              </w:rPr>
            </w:pPr>
          </w:p>
        </w:tc>
        <w:tc>
          <w:tcPr>
            <w:tcW w:w="1335" w:type="pct"/>
          </w:tcPr>
          <w:p w14:paraId="598DFB01">
            <w:pPr>
              <w:spacing w:line="432" w:lineRule="auto"/>
              <w:rPr>
                <w:rFonts w:ascii="宋体" w:hAnsi="宋体" w:cs="宋体"/>
                <w:sz w:val="21"/>
                <w:szCs w:val="21"/>
              </w:rPr>
            </w:pPr>
          </w:p>
        </w:tc>
        <w:tc>
          <w:tcPr>
            <w:tcW w:w="1191" w:type="pct"/>
          </w:tcPr>
          <w:p w14:paraId="79736138">
            <w:pPr>
              <w:spacing w:line="432" w:lineRule="auto"/>
              <w:rPr>
                <w:rFonts w:ascii="宋体" w:hAnsi="宋体" w:cs="宋体"/>
                <w:sz w:val="21"/>
                <w:szCs w:val="21"/>
              </w:rPr>
            </w:pPr>
          </w:p>
        </w:tc>
        <w:tc>
          <w:tcPr>
            <w:tcW w:w="1232" w:type="pct"/>
          </w:tcPr>
          <w:p w14:paraId="6E721F00">
            <w:pPr>
              <w:spacing w:line="432" w:lineRule="auto"/>
              <w:rPr>
                <w:rFonts w:ascii="宋体" w:hAnsi="宋体" w:cs="宋体"/>
                <w:sz w:val="21"/>
                <w:szCs w:val="21"/>
              </w:rPr>
            </w:pPr>
          </w:p>
        </w:tc>
      </w:tr>
      <w:tr w14:paraId="1F6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3BF4CCCC">
            <w:pPr>
              <w:spacing w:line="432" w:lineRule="auto"/>
              <w:rPr>
                <w:rFonts w:ascii="宋体" w:hAnsi="宋体" w:cs="宋体"/>
                <w:sz w:val="21"/>
                <w:szCs w:val="21"/>
              </w:rPr>
            </w:pPr>
          </w:p>
        </w:tc>
        <w:tc>
          <w:tcPr>
            <w:tcW w:w="815" w:type="pct"/>
          </w:tcPr>
          <w:p w14:paraId="6D1C2AB1">
            <w:pPr>
              <w:spacing w:line="432" w:lineRule="auto"/>
              <w:rPr>
                <w:rFonts w:ascii="宋体" w:hAnsi="宋体" w:cs="宋体"/>
                <w:sz w:val="21"/>
                <w:szCs w:val="21"/>
              </w:rPr>
            </w:pPr>
          </w:p>
        </w:tc>
        <w:tc>
          <w:tcPr>
            <w:tcW w:w="1335" w:type="pct"/>
          </w:tcPr>
          <w:p w14:paraId="32726AFB">
            <w:pPr>
              <w:spacing w:line="432" w:lineRule="auto"/>
              <w:rPr>
                <w:rFonts w:ascii="宋体" w:hAnsi="宋体" w:cs="宋体"/>
                <w:sz w:val="21"/>
                <w:szCs w:val="21"/>
              </w:rPr>
            </w:pPr>
          </w:p>
        </w:tc>
        <w:tc>
          <w:tcPr>
            <w:tcW w:w="1191" w:type="pct"/>
          </w:tcPr>
          <w:p w14:paraId="3656D459">
            <w:pPr>
              <w:spacing w:line="432" w:lineRule="auto"/>
              <w:rPr>
                <w:rFonts w:ascii="宋体" w:hAnsi="宋体" w:cs="宋体"/>
                <w:sz w:val="21"/>
                <w:szCs w:val="21"/>
              </w:rPr>
            </w:pPr>
          </w:p>
        </w:tc>
        <w:tc>
          <w:tcPr>
            <w:tcW w:w="1232" w:type="pct"/>
          </w:tcPr>
          <w:p w14:paraId="12AC1E01">
            <w:pPr>
              <w:spacing w:line="432" w:lineRule="auto"/>
              <w:rPr>
                <w:rFonts w:ascii="宋体" w:hAnsi="宋体" w:cs="宋体"/>
                <w:sz w:val="21"/>
                <w:szCs w:val="21"/>
              </w:rPr>
            </w:pPr>
          </w:p>
        </w:tc>
      </w:tr>
      <w:tr w14:paraId="030A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6CC1BCC3">
            <w:pPr>
              <w:spacing w:line="432" w:lineRule="auto"/>
              <w:rPr>
                <w:rFonts w:ascii="宋体" w:hAnsi="宋体" w:cs="宋体"/>
                <w:sz w:val="21"/>
                <w:szCs w:val="21"/>
              </w:rPr>
            </w:pPr>
          </w:p>
        </w:tc>
        <w:tc>
          <w:tcPr>
            <w:tcW w:w="815" w:type="pct"/>
          </w:tcPr>
          <w:p w14:paraId="7FB12C52">
            <w:pPr>
              <w:spacing w:line="432" w:lineRule="auto"/>
              <w:rPr>
                <w:rFonts w:ascii="宋体" w:hAnsi="宋体" w:cs="宋体"/>
                <w:sz w:val="21"/>
                <w:szCs w:val="21"/>
              </w:rPr>
            </w:pPr>
          </w:p>
        </w:tc>
        <w:tc>
          <w:tcPr>
            <w:tcW w:w="1335" w:type="pct"/>
          </w:tcPr>
          <w:p w14:paraId="762E0CC3">
            <w:pPr>
              <w:spacing w:line="432" w:lineRule="auto"/>
              <w:rPr>
                <w:rFonts w:ascii="宋体" w:hAnsi="宋体" w:cs="宋体"/>
                <w:sz w:val="21"/>
                <w:szCs w:val="21"/>
              </w:rPr>
            </w:pPr>
          </w:p>
        </w:tc>
        <w:tc>
          <w:tcPr>
            <w:tcW w:w="1191" w:type="pct"/>
          </w:tcPr>
          <w:p w14:paraId="1C2AA0C3">
            <w:pPr>
              <w:spacing w:line="432" w:lineRule="auto"/>
              <w:rPr>
                <w:rFonts w:ascii="宋体" w:hAnsi="宋体" w:cs="宋体"/>
                <w:sz w:val="21"/>
                <w:szCs w:val="21"/>
              </w:rPr>
            </w:pPr>
          </w:p>
        </w:tc>
        <w:tc>
          <w:tcPr>
            <w:tcW w:w="1232" w:type="pct"/>
          </w:tcPr>
          <w:p w14:paraId="733D4550">
            <w:pPr>
              <w:spacing w:line="432" w:lineRule="auto"/>
              <w:rPr>
                <w:rFonts w:ascii="宋体" w:hAnsi="宋体" w:cs="宋体"/>
                <w:sz w:val="21"/>
                <w:szCs w:val="21"/>
              </w:rPr>
            </w:pPr>
          </w:p>
        </w:tc>
      </w:tr>
    </w:tbl>
    <w:p w14:paraId="2CB87F0C">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备注：1、本表应按照</w:t>
      </w:r>
      <w:r>
        <w:rPr>
          <w:rFonts w:hint="eastAsia"/>
          <w:sz w:val="21"/>
          <w:szCs w:val="21"/>
        </w:rPr>
        <w:t>招标文件第五部分采购内容及技术参数要求中的</w:t>
      </w:r>
      <w:r>
        <w:rPr>
          <w:rFonts w:hint="eastAsia" w:ascii="宋体" w:hAnsi="宋体" w:cs="宋体"/>
          <w:kern w:val="0"/>
          <w:sz w:val="21"/>
          <w:szCs w:val="21"/>
          <w:lang w:val="zh-CN"/>
        </w:rPr>
        <w:t xml:space="preserve"> “技术参数”指标填写。</w:t>
      </w:r>
    </w:p>
    <w:p w14:paraId="3D35877C">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2、填写此表时以招标文件具体技术参数要求为基本投标要求，满足采购需求的指标需在“偏离情况说明”中列出“</w:t>
      </w:r>
      <w:r>
        <w:rPr>
          <w:rFonts w:hint="eastAsia" w:ascii="宋体" w:hAnsi="宋体" w:cs="宋体"/>
          <w:kern w:val="0"/>
          <w:sz w:val="21"/>
          <w:szCs w:val="21"/>
        </w:rPr>
        <w:t>0</w:t>
      </w:r>
      <w:r>
        <w:rPr>
          <w:rFonts w:hint="eastAsia" w:ascii="宋体" w:hAnsi="宋体" w:cs="宋体"/>
          <w:kern w:val="0"/>
          <w:sz w:val="21"/>
          <w:szCs w:val="21"/>
          <w:lang w:val="zh-CN"/>
        </w:rPr>
        <w:t>”；超出、不满足招标需求的指标需列出“+”、“-”偏差，并做出详细说明；如果只注明“+”、“-”或未填写，将视为该项指标不响应。</w:t>
      </w:r>
    </w:p>
    <w:p w14:paraId="753D63FE">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3、供应商响应采购需求应具体、明确，含糊不清、不确切或伪造、编造证明材料的，按照实质性不响应处理。对伪造、编造证明材料的，将报送采购监管部门查处。</w:t>
      </w:r>
    </w:p>
    <w:p w14:paraId="2C9A7A96">
      <w:pPr>
        <w:autoSpaceDE w:val="0"/>
        <w:autoSpaceDN w:val="0"/>
        <w:spacing w:line="480" w:lineRule="exact"/>
        <w:rPr>
          <w:lang w:val="zh-CN"/>
        </w:rPr>
      </w:pPr>
      <w:r>
        <w:rPr>
          <w:rFonts w:hint="eastAsia" w:ascii="宋体" w:hAnsi="宋体" w:cs="宋体"/>
          <w:kern w:val="0"/>
          <w:sz w:val="21"/>
          <w:szCs w:val="21"/>
        </w:rPr>
        <w:t>4、</w:t>
      </w:r>
      <w:r>
        <w:rPr>
          <w:rFonts w:hint="eastAsia" w:ascii="宋体" w:hAnsi="宋体" w:cs="宋体"/>
          <w:kern w:val="0"/>
          <w:sz w:val="21"/>
          <w:szCs w:val="21"/>
          <w:lang w:val="zh-CN"/>
        </w:rPr>
        <w:t>本表后可附技术参数说明文件或证明文件等（如有）。</w:t>
      </w:r>
    </w:p>
    <w:p w14:paraId="5E616724">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A57C691">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3D4D1AA4">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4355ABB4">
      <w:pPr>
        <w:spacing w:line="360" w:lineRule="auto"/>
        <w:ind w:right="1260" w:firstLine="420" w:firstLineChars="200"/>
        <w:rPr>
          <w:rFonts w:hint="eastAsia" w:ascii="宋体" w:hAnsi="宋体" w:cs="宋体"/>
          <w:sz w:val="21"/>
          <w:szCs w:val="21"/>
        </w:rPr>
      </w:pPr>
    </w:p>
    <w:p w14:paraId="59A63055">
      <w:pPr>
        <w:spacing w:line="360" w:lineRule="auto"/>
        <w:ind w:right="1260" w:firstLine="420" w:firstLineChars="200"/>
        <w:rPr>
          <w:rFonts w:hint="eastAsia" w:ascii="宋体" w:hAnsi="宋体" w:cs="宋体"/>
          <w:sz w:val="21"/>
          <w:szCs w:val="21"/>
        </w:rPr>
      </w:pPr>
    </w:p>
    <w:p w14:paraId="7E0C6918">
      <w:pPr>
        <w:pStyle w:val="4"/>
        <w:spacing w:line="400" w:lineRule="exact"/>
        <w:ind w:left="0" w:leftChars="0" w:firstLine="0" w:firstLineChars="0"/>
        <w:jc w:val="center"/>
        <w:rPr>
          <w:rFonts w:ascii="宋体" w:hAnsi="宋体" w:cs="宋体"/>
          <w:szCs w:val="28"/>
        </w:rPr>
      </w:pPr>
      <w:r>
        <w:rPr>
          <w:rFonts w:ascii="宋体" w:hAnsi="宋体" w:cs="宋体"/>
          <w:szCs w:val="28"/>
        </w:rPr>
        <w:br w:type="page"/>
      </w:r>
      <w:bookmarkStart w:id="1044" w:name="_Toc15457381"/>
      <w:bookmarkStart w:id="1045" w:name="_Toc54032278"/>
      <w:bookmarkStart w:id="1046" w:name="_Toc22901"/>
      <w:bookmarkStart w:id="1047" w:name="_Toc27503"/>
      <w:bookmarkStart w:id="1048" w:name="_Toc90"/>
      <w:r>
        <w:rPr>
          <w:rFonts w:hint="eastAsia" w:ascii="宋体" w:hAnsi="宋体" w:eastAsia="宋体" w:cs="宋体"/>
          <w:szCs w:val="28"/>
          <w:lang w:val="en-US" w:eastAsia="zh-CN"/>
        </w:rPr>
        <w:t>六、</w:t>
      </w:r>
      <w:bookmarkEnd w:id="1044"/>
      <w:bookmarkEnd w:id="1045"/>
      <w:r>
        <w:rPr>
          <w:rFonts w:hint="eastAsia" w:ascii="宋体" w:hAnsi="宋体" w:eastAsia="宋体" w:cs="宋体"/>
          <w:szCs w:val="28"/>
          <w:lang w:val="en-US" w:eastAsia="zh-CN"/>
        </w:rPr>
        <w:t>项目实施方案</w:t>
      </w:r>
      <w:bookmarkEnd w:id="1046"/>
      <w:bookmarkEnd w:id="1047"/>
      <w:bookmarkEnd w:id="1048"/>
    </w:p>
    <w:p w14:paraId="35ED0026">
      <w:pPr>
        <w:tabs>
          <w:tab w:val="left" w:pos="1322"/>
        </w:tabs>
        <w:spacing w:before="360" w:beforeLines="150" w:after="120" w:afterLines="50" w:line="360" w:lineRule="auto"/>
        <w:jc w:val="center"/>
        <w:rPr>
          <w:rFonts w:ascii="宋体" w:hAnsi="宋体"/>
          <w:sz w:val="21"/>
          <w:szCs w:val="18"/>
        </w:rPr>
      </w:pPr>
      <w:r>
        <w:rPr>
          <w:rFonts w:hint="eastAsia" w:ascii="宋体" w:hAnsi="宋体"/>
          <w:sz w:val="21"/>
          <w:szCs w:val="18"/>
        </w:rPr>
        <w:t>（格式自拟）</w:t>
      </w:r>
    </w:p>
    <w:p w14:paraId="007978C8">
      <w:pPr>
        <w:tabs>
          <w:tab w:val="left" w:pos="1322"/>
        </w:tabs>
        <w:spacing w:line="360" w:lineRule="auto"/>
        <w:ind w:left="420"/>
        <w:rPr>
          <w:rFonts w:ascii="宋体" w:hAnsi="宋体" w:cs="宋体"/>
          <w:kern w:val="0"/>
          <w:sz w:val="21"/>
          <w:szCs w:val="21"/>
          <w:lang w:val="zh-CN"/>
        </w:rPr>
      </w:pPr>
    </w:p>
    <w:p w14:paraId="50D7AD9C">
      <w:pPr>
        <w:pStyle w:val="28"/>
        <w:rPr>
          <w:lang w:val="zh-CN"/>
        </w:rPr>
      </w:pPr>
    </w:p>
    <w:p w14:paraId="588D78CB">
      <w:pPr>
        <w:tabs>
          <w:tab w:val="left" w:pos="1322"/>
        </w:tabs>
        <w:spacing w:line="360" w:lineRule="auto"/>
        <w:ind w:left="420"/>
        <w:rPr>
          <w:rFonts w:ascii="宋体" w:hAnsi="宋体"/>
          <w:szCs w:val="21"/>
          <w:lang w:val="en-GB"/>
        </w:rPr>
      </w:pPr>
    </w:p>
    <w:p w14:paraId="190D60E8">
      <w:pPr>
        <w:tabs>
          <w:tab w:val="left" w:pos="1322"/>
        </w:tabs>
        <w:spacing w:line="360" w:lineRule="auto"/>
        <w:ind w:left="420"/>
        <w:rPr>
          <w:rFonts w:ascii="宋体" w:hAnsi="宋体"/>
          <w:szCs w:val="21"/>
          <w:lang w:val="en-GB"/>
        </w:rPr>
      </w:pPr>
    </w:p>
    <w:p w14:paraId="6F14187C">
      <w:pPr>
        <w:rPr>
          <w:rFonts w:ascii="宋体" w:hAnsi="宋体" w:cs="宋体"/>
          <w:szCs w:val="28"/>
        </w:rPr>
      </w:pPr>
      <w:r>
        <w:rPr>
          <w:rFonts w:hint="eastAsia" w:ascii="宋体" w:hAnsi="宋体" w:cs="宋体"/>
          <w:szCs w:val="28"/>
        </w:rPr>
        <w:br w:type="page"/>
      </w:r>
    </w:p>
    <w:p w14:paraId="11C4F51C">
      <w:pPr>
        <w:pStyle w:val="4"/>
        <w:spacing w:line="400" w:lineRule="exact"/>
        <w:ind w:firstLine="3373" w:firstLineChars="1200"/>
        <w:rPr>
          <w:rFonts w:ascii="宋体" w:hAnsi="宋体" w:cs="宋体"/>
          <w:szCs w:val="28"/>
        </w:rPr>
      </w:pPr>
      <w:bookmarkStart w:id="1049" w:name="_Toc14006"/>
      <w:bookmarkStart w:id="1050" w:name="_Toc20003"/>
      <w:bookmarkStart w:id="1051" w:name="_Toc19171"/>
      <w:r>
        <w:rPr>
          <w:rFonts w:hint="eastAsia" w:ascii="宋体" w:hAnsi="宋体" w:cs="宋体"/>
          <w:szCs w:val="28"/>
        </w:rPr>
        <w:t>七、服务方案及服务承诺</w:t>
      </w:r>
      <w:bookmarkEnd w:id="1049"/>
      <w:bookmarkEnd w:id="1050"/>
      <w:bookmarkEnd w:id="1051"/>
    </w:p>
    <w:p w14:paraId="48DA82D9">
      <w:pPr>
        <w:tabs>
          <w:tab w:val="left" w:pos="1322"/>
        </w:tabs>
        <w:spacing w:before="360" w:beforeLines="150" w:after="120" w:afterLines="50" w:line="360" w:lineRule="auto"/>
        <w:jc w:val="center"/>
        <w:rPr>
          <w:rFonts w:ascii="宋体" w:hAnsi="宋体"/>
          <w:sz w:val="21"/>
          <w:szCs w:val="18"/>
        </w:rPr>
      </w:pPr>
      <w:r>
        <w:rPr>
          <w:rFonts w:hint="eastAsia" w:ascii="宋体" w:hAnsi="宋体"/>
          <w:sz w:val="21"/>
          <w:szCs w:val="18"/>
        </w:rPr>
        <w:t>（格式自拟）</w:t>
      </w:r>
    </w:p>
    <w:p w14:paraId="42720499">
      <w:pPr>
        <w:tabs>
          <w:tab w:val="left" w:pos="1322"/>
        </w:tabs>
        <w:spacing w:line="360" w:lineRule="auto"/>
        <w:ind w:left="420"/>
        <w:rPr>
          <w:rFonts w:ascii="宋体" w:hAnsi="宋体" w:cs="宋体"/>
          <w:kern w:val="0"/>
          <w:sz w:val="21"/>
          <w:szCs w:val="21"/>
          <w:lang w:val="zh-CN"/>
        </w:rPr>
      </w:pPr>
    </w:p>
    <w:p w14:paraId="1BD0AB28">
      <w:pPr>
        <w:pStyle w:val="28"/>
        <w:rPr>
          <w:lang w:val="zh-CN"/>
        </w:rPr>
      </w:pPr>
    </w:p>
    <w:p w14:paraId="6479C52B">
      <w:pPr>
        <w:tabs>
          <w:tab w:val="left" w:pos="1322"/>
        </w:tabs>
        <w:spacing w:line="360" w:lineRule="auto"/>
        <w:ind w:left="420"/>
        <w:rPr>
          <w:rFonts w:ascii="宋体" w:hAnsi="宋体"/>
          <w:szCs w:val="21"/>
          <w:lang w:val="en-GB"/>
        </w:rPr>
      </w:pPr>
    </w:p>
    <w:p w14:paraId="6D9174F2">
      <w:pPr>
        <w:spacing w:line="400" w:lineRule="exact"/>
        <w:ind w:firstLine="562"/>
        <w:jc w:val="center"/>
      </w:pPr>
      <w:r>
        <w:rPr>
          <w:rFonts w:ascii="宋体" w:hAnsi="宋体" w:cs="宋体"/>
          <w:szCs w:val="28"/>
        </w:rPr>
        <w:br w:type="page"/>
      </w:r>
    </w:p>
    <w:p w14:paraId="309951E0">
      <w:pPr>
        <w:pStyle w:val="4"/>
        <w:spacing w:line="380" w:lineRule="exact"/>
        <w:ind w:firstLine="0" w:firstLineChars="0"/>
        <w:jc w:val="center"/>
        <w:rPr>
          <w:rFonts w:ascii="宋体" w:hAnsi="宋体" w:cs="宋体"/>
          <w:szCs w:val="28"/>
        </w:rPr>
      </w:pPr>
      <w:bookmarkStart w:id="1052" w:name="_Toc25157"/>
      <w:bookmarkStart w:id="1053" w:name="_Toc11097"/>
      <w:bookmarkStart w:id="1054" w:name="_Toc17392"/>
      <w:bookmarkStart w:id="1055" w:name="_Toc28119"/>
      <w:r>
        <w:rPr>
          <w:rFonts w:hint="eastAsia" w:ascii="宋体" w:hAnsi="宋体" w:cs="宋体"/>
          <w:szCs w:val="28"/>
        </w:rPr>
        <w:t>八、资格证明</w:t>
      </w:r>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hint="eastAsia" w:ascii="宋体" w:hAnsi="宋体" w:cs="宋体"/>
          <w:szCs w:val="28"/>
        </w:rPr>
        <w:t>文件</w:t>
      </w:r>
      <w:bookmarkEnd w:id="1052"/>
      <w:bookmarkEnd w:id="1053"/>
      <w:bookmarkEnd w:id="1054"/>
      <w:bookmarkEnd w:id="1055"/>
    </w:p>
    <w:p w14:paraId="479DCD38">
      <w:pPr>
        <w:spacing w:before="326" w:beforeLines="100" w:after="163" w:afterLines="50" w:line="510" w:lineRule="exact"/>
        <w:jc w:val="center"/>
        <w:outlineLvl w:val="2"/>
        <w:rPr>
          <w:rFonts w:hint="eastAsia" w:ascii="宋体" w:hAnsi="宋体" w:eastAsia="宋体" w:cs="宋体"/>
          <w:b/>
          <w:bCs/>
          <w:sz w:val="24"/>
          <w:szCs w:val="24"/>
        </w:rPr>
      </w:pPr>
      <w:bookmarkStart w:id="1056" w:name="_Toc18629"/>
      <w:bookmarkStart w:id="1057" w:name="_Toc10504"/>
      <w:bookmarkStart w:id="1058" w:name="_Toc3975"/>
      <w:bookmarkStart w:id="1059" w:name="_Toc8003"/>
      <w:bookmarkStart w:id="1060" w:name="_Toc9733"/>
      <w:bookmarkStart w:id="1061" w:name="_Toc7587"/>
      <w:bookmarkStart w:id="1062" w:name="_Toc9659_WPSOffice_Level2"/>
      <w:bookmarkStart w:id="1063" w:name="_Toc28821"/>
      <w:bookmarkStart w:id="1064" w:name="_Toc24408"/>
      <w:bookmarkStart w:id="1065" w:name="_Toc15981"/>
      <w:bookmarkStart w:id="1066" w:name="_Toc6545"/>
      <w:bookmarkStart w:id="1067" w:name="_Toc434"/>
      <w:bookmarkStart w:id="1068" w:name="_Toc1261"/>
      <w:bookmarkStart w:id="1069" w:name="_Toc25303"/>
      <w:bookmarkStart w:id="1070" w:name="_Toc23657"/>
      <w:bookmarkStart w:id="1071" w:name="_Toc15461451"/>
      <w:bookmarkStart w:id="1072" w:name="_Toc5937"/>
      <w:bookmarkStart w:id="1073" w:name="_Toc7776"/>
      <w:bookmarkStart w:id="1074" w:name="_Toc2550"/>
      <w:bookmarkStart w:id="1075" w:name="_Toc15843"/>
      <w:bookmarkStart w:id="1076" w:name="_Toc25801"/>
      <w:bookmarkStart w:id="1077" w:name="_Toc12029"/>
      <w:bookmarkStart w:id="1078" w:name="_Toc3967_WPSOffice_Level2"/>
      <w:bookmarkStart w:id="1079" w:name="_Toc8935"/>
      <w:bookmarkStart w:id="1080" w:name="_Toc6344"/>
      <w:bookmarkStart w:id="1081" w:name="_Toc30766_WPSOffice_Level2"/>
      <w:bookmarkStart w:id="1082" w:name="_Toc23547"/>
      <w:r>
        <w:rPr>
          <w:rFonts w:ascii="宋体" w:hAnsi="宋体" w:cs="宋体"/>
          <w:szCs w:val="28"/>
        </w:rPr>
        <w:br w:type="page"/>
      </w:r>
      <w:bookmarkStart w:id="1083" w:name="_Toc141388592"/>
      <w:bookmarkStart w:id="1084" w:name="_Toc2188"/>
      <w:bookmarkStart w:id="1085" w:name="_Toc23980"/>
      <w:bookmarkStart w:id="1086" w:name="_Toc45177874"/>
      <w:r>
        <w:rPr>
          <w:rFonts w:hint="eastAsia" w:ascii="宋体" w:hAnsi="宋体" w:eastAsia="宋体" w:cs="宋体"/>
          <w:b/>
          <w:bCs/>
          <w:sz w:val="24"/>
          <w:szCs w:val="24"/>
        </w:rPr>
        <w:t>（</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）资格证明材料</w:t>
      </w:r>
      <w:bookmarkEnd w:id="1083"/>
      <w:bookmarkEnd w:id="1084"/>
      <w:bookmarkEnd w:id="1085"/>
    </w:p>
    <w:bookmarkEnd w:id="1086"/>
    <w:p w14:paraId="0BD6B490">
      <w:pPr>
        <w:spacing w:before="326" w:beforeLines="100" w:after="163" w:afterLines="50"/>
        <w:rPr>
          <w:rFonts w:hint="eastAsia" w:ascii="宋体" w:hAnsi="宋体" w:eastAsia="宋体" w:cs="宋体"/>
          <w:szCs w:val="21"/>
        </w:rPr>
      </w:pPr>
    </w:p>
    <w:p w14:paraId="46D9BC46">
      <w:pPr>
        <w:widowControl/>
        <w:jc w:val="left"/>
        <w:rPr>
          <w:rFonts w:hint="eastAsia" w:ascii="宋体" w:hAnsi="宋体" w:eastAsia="宋体" w:cs="宋体"/>
          <w:b/>
          <w:bCs/>
          <w:color w:val="000000" w:themeColor="text1"/>
          <w:szCs w:val="18"/>
          <w14:textFill>
            <w14:solidFill>
              <w14:schemeClr w14:val="tx1"/>
            </w14:solidFill>
          </w14:textFill>
        </w:rPr>
      </w:pPr>
      <w:r>
        <w:rPr>
          <w:rFonts w:hint="eastAsia" w:ascii="宋体" w:hAnsi="宋体" w:eastAsia="宋体" w:cs="宋体"/>
          <w:b/>
          <w:bCs/>
          <w:color w:val="000000" w:themeColor="text1"/>
          <w:szCs w:val="18"/>
          <w14:textFill>
            <w14:solidFill>
              <w14:schemeClr w14:val="tx1"/>
            </w14:solidFill>
          </w14:textFill>
        </w:rPr>
        <w:br w:type="page"/>
      </w:r>
    </w:p>
    <w:p w14:paraId="2A18999B">
      <w:pPr>
        <w:spacing w:line="360" w:lineRule="auto"/>
        <w:ind w:firstLine="482" w:firstLineChars="200"/>
        <w:jc w:val="center"/>
        <w:outlineLvl w:val="2"/>
        <w:rPr>
          <w:rFonts w:hint="eastAsia" w:ascii="宋体" w:hAnsi="宋体" w:eastAsia="宋体" w:cs="宋体"/>
          <w:b/>
          <w:bCs w:val="0"/>
          <w:color w:val="000000" w:themeColor="text1"/>
          <w:szCs w:val="18"/>
          <w14:textFill>
            <w14:solidFill>
              <w14:schemeClr w14:val="tx1"/>
            </w14:solidFill>
          </w14:textFill>
        </w:rPr>
      </w:pPr>
      <w:bookmarkStart w:id="1087" w:name="_Toc6643"/>
      <w:bookmarkStart w:id="1088" w:name="_Toc18599"/>
      <w:r>
        <w:rPr>
          <w:rFonts w:hint="eastAsia" w:ascii="宋体" w:hAnsi="宋体" w:eastAsia="宋体" w:cs="宋体"/>
          <w:b/>
          <w:bCs w:val="0"/>
          <w:color w:val="000000" w:themeColor="text1"/>
          <w:szCs w:val="18"/>
          <w14:textFill>
            <w14:solidFill>
              <w14:schemeClr w14:val="tx1"/>
            </w14:solidFill>
          </w14:textFill>
        </w:rPr>
        <w:t>（</w:t>
      </w:r>
      <w:r>
        <w:rPr>
          <w:rFonts w:hint="eastAsia" w:ascii="宋体" w:hAnsi="宋体" w:eastAsia="宋体" w:cs="宋体"/>
          <w:b/>
          <w:bCs w:val="0"/>
          <w:color w:val="000000" w:themeColor="text1"/>
          <w:szCs w:val="18"/>
          <w:lang w:val="en-US" w:eastAsia="zh-CN"/>
          <w14:textFill>
            <w14:solidFill>
              <w14:schemeClr w14:val="tx1"/>
            </w14:solidFill>
          </w14:textFill>
        </w:rPr>
        <w:t>二</w:t>
      </w:r>
      <w:r>
        <w:rPr>
          <w:rFonts w:hint="eastAsia" w:ascii="宋体" w:hAnsi="宋体" w:eastAsia="宋体" w:cs="宋体"/>
          <w:b/>
          <w:bCs w:val="0"/>
          <w:color w:val="000000" w:themeColor="text1"/>
          <w:szCs w:val="18"/>
          <w14:textFill>
            <w14:solidFill>
              <w14:schemeClr w14:val="tx1"/>
            </w14:solidFill>
          </w14:textFill>
        </w:rPr>
        <w:t>）政府采购供应商信用承诺函</w:t>
      </w:r>
      <w:bookmarkEnd w:id="1087"/>
      <w:bookmarkEnd w:id="1088"/>
    </w:p>
    <w:p w14:paraId="61CA701C">
      <w:pPr>
        <w:pStyle w:val="14"/>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政府采购供应商信用承诺函</w:t>
      </w:r>
    </w:p>
    <w:p w14:paraId="6B95DABD">
      <w:pPr>
        <w:pStyle w:val="14"/>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8"/>
          <w:szCs w:val="24"/>
        </w:rPr>
      </w:pPr>
    </w:p>
    <w:p w14:paraId="6D10C6B7">
      <w:pPr>
        <w:pStyle w:val="1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（采购人或代理机构）</w:t>
      </w:r>
      <w:r>
        <w:rPr>
          <w:rFonts w:hint="eastAsia" w:ascii="宋体" w:hAnsi="宋体" w:eastAsia="宋体" w:cs="宋体"/>
          <w:color w:val="auto"/>
          <w:sz w:val="21"/>
          <w:szCs w:val="21"/>
        </w:rPr>
        <w:t>：</w:t>
      </w:r>
    </w:p>
    <w:p w14:paraId="5465711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单位名称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6E8A97C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统一社会信用代码</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5BCBA074">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2E9B302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联系地址和电话</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276FE41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761FEE56">
      <w:pPr>
        <w:pStyle w:val="1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（一）</w:t>
      </w:r>
      <w:r>
        <w:rPr>
          <w:rFonts w:hint="eastAsia" w:ascii="宋体" w:hAnsi="宋体" w:eastAsia="宋体" w:cs="宋体"/>
          <w:color w:val="auto"/>
          <w:sz w:val="21"/>
          <w:szCs w:val="21"/>
          <w:lang w:eastAsia="zh-CN"/>
        </w:rPr>
        <w:t>具有独立承担民事责任的能力；</w:t>
      </w:r>
    </w:p>
    <w:p w14:paraId="78A86207">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（二）</w:t>
      </w:r>
      <w:r>
        <w:rPr>
          <w:rFonts w:hint="eastAsia" w:ascii="宋体" w:hAnsi="宋体" w:eastAsia="宋体" w:cs="宋体"/>
          <w:color w:val="auto"/>
          <w:sz w:val="21"/>
          <w:szCs w:val="21"/>
          <w:lang w:eastAsia="zh-CN"/>
        </w:rPr>
        <w:t>具有良好的商业信誉和健全的财务会计制度；</w:t>
      </w:r>
    </w:p>
    <w:p w14:paraId="7DAFB148">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（三）</w:t>
      </w:r>
      <w:r>
        <w:rPr>
          <w:rFonts w:hint="eastAsia" w:ascii="宋体" w:hAnsi="宋体" w:eastAsia="宋体" w:cs="宋体"/>
          <w:color w:val="auto"/>
          <w:sz w:val="21"/>
          <w:szCs w:val="21"/>
          <w:lang w:eastAsia="zh-CN"/>
        </w:rPr>
        <w:t>具有履行合同所必需的设备和专业技术能力；</w:t>
      </w:r>
    </w:p>
    <w:p w14:paraId="6F414D6F">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（四）</w:t>
      </w:r>
      <w:r>
        <w:rPr>
          <w:rFonts w:hint="eastAsia" w:ascii="宋体" w:hAnsi="宋体" w:eastAsia="宋体" w:cs="宋体"/>
          <w:color w:val="auto"/>
          <w:sz w:val="21"/>
          <w:szCs w:val="21"/>
          <w:lang w:eastAsia="zh-CN"/>
        </w:rPr>
        <w:t>有依法缴纳税收和社会保障资金的良好记录；</w:t>
      </w:r>
    </w:p>
    <w:p w14:paraId="068614A5">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w:t>
      </w:r>
      <w:r>
        <w:rPr>
          <w:rFonts w:hint="eastAsia" w:ascii="宋体" w:hAnsi="宋体" w:eastAsia="宋体" w:cs="宋体"/>
          <w:color w:val="auto"/>
          <w:sz w:val="21"/>
          <w:szCs w:val="21"/>
          <w:lang w:val="en-US" w:eastAsia="zh-CN"/>
        </w:rPr>
        <w:t>（五）</w:t>
      </w:r>
      <w:r>
        <w:rPr>
          <w:rFonts w:hint="eastAsia" w:ascii="宋体" w:hAnsi="宋体" w:eastAsia="宋体" w:cs="宋体"/>
          <w:color w:val="auto"/>
          <w:sz w:val="21"/>
          <w:szCs w:val="21"/>
          <w:lang w:eastAsia="zh-CN"/>
        </w:rPr>
        <w:t>参加政府采购活动前三年内，在经营活动中没有重大违法记录；</w:t>
      </w:r>
    </w:p>
    <w:p w14:paraId="40AFBCFC">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    （六）</w:t>
      </w:r>
      <w:r>
        <w:rPr>
          <w:rFonts w:hint="eastAsia" w:ascii="宋体" w:hAnsi="宋体" w:eastAsia="宋体" w:cs="宋体"/>
          <w:color w:val="auto"/>
          <w:sz w:val="21"/>
          <w:szCs w:val="21"/>
          <w:lang w:eastAsia="zh-CN"/>
        </w:rPr>
        <w:t>法律，行政法规规定的其他条件。</w:t>
      </w:r>
    </w:p>
    <w:p w14:paraId="5F862868">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color w:val="auto"/>
          <w:sz w:val="21"/>
          <w:szCs w:val="21"/>
          <w:lang w:eastAsia="zh-CN"/>
        </w:rPr>
        <w:t>我</w:t>
      </w:r>
      <w:r>
        <w:rPr>
          <w:rFonts w:hint="eastAsia" w:ascii="宋体" w:hAnsi="宋体" w:eastAsia="宋体" w:cs="宋体"/>
          <w:color w:val="auto"/>
          <w:sz w:val="21"/>
          <w:szCs w:val="21"/>
          <w:lang w:val="en-US" w:eastAsia="zh-CN"/>
        </w:rPr>
        <w:t>单位</w:t>
      </w:r>
      <w:r>
        <w:rPr>
          <w:rFonts w:hint="eastAsia" w:ascii="宋体" w:hAnsi="宋体" w:eastAsia="宋体" w:cs="宋体"/>
          <w:color w:val="auto"/>
          <w:sz w:val="21"/>
          <w:szCs w:val="21"/>
          <w:lang w:eastAsia="zh-CN"/>
        </w:rPr>
        <w:t>未被列入失信被执行人、重大税收违法案件当事人名单、政府采购严重违法失信行为记录名单。</w:t>
      </w:r>
      <w:r>
        <w:rPr>
          <w:rFonts w:hint="eastAsia" w:ascii="宋体" w:hAnsi="宋体" w:eastAsia="宋体" w:cs="宋体"/>
          <w:color w:val="auto"/>
          <w:sz w:val="21"/>
          <w:szCs w:val="21"/>
        </w:rPr>
        <w:t>我单位保证上述承诺事项的真实性，如有弄虚作假或其他违法违规行为，愿意承担一切法律责任，并承担因此所造成的一切损失</w:t>
      </w:r>
      <w:r>
        <w:rPr>
          <w:rFonts w:hint="eastAsia" w:ascii="宋体" w:hAnsi="宋体" w:eastAsia="宋体" w:cs="宋体"/>
          <w:color w:val="auto"/>
          <w:sz w:val="21"/>
          <w:szCs w:val="21"/>
          <w:lang w:eastAsia="zh-CN"/>
        </w:rPr>
        <w:t>。</w:t>
      </w:r>
    </w:p>
    <w:p w14:paraId="59E1D03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p>
    <w:p w14:paraId="08FF2714">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供应商</w:t>
      </w:r>
      <w:r>
        <w:rPr>
          <w:rFonts w:hint="eastAsia" w:ascii="宋体" w:hAnsi="宋体" w:eastAsia="宋体" w:cs="宋体"/>
          <w:color w:val="auto"/>
          <w:sz w:val="21"/>
          <w:szCs w:val="21"/>
        </w:rPr>
        <w:t>（企业电子章）：</w:t>
      </w:r>
    </w:p>
    <w:p w14:paraId="431A679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法定代表人或授权代表（签字或电子印章）：</w:t>
      </w:r>
    </w:p>
    <w:p w14:paraId="0ED07BC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righ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日期：  年  月  日</w:t>
      </w:r>
    </w:p>
    <w:p w14:paraId="48DC1074">
      <w:pPr>
        <w:pStyle w:val="14"/>
        <w:keepNext w:val="0"/>
        <w:keepLines w:val="0"/>
        <w:pageBreakBefore w:val="0"/>
        <w:widowControl w:val="0"/>
        <w:kinsoku/>
        <w:wordWrap/>
        <w:overflowPunct/>
        <w:topLinePunct w:val="0"/>
        <w:autoSpaceDE/>
        <w:autoSpaceDN/>
        <w:bidi w:val="0"/>
        <w:spacing w:line="360" w:lineRule="auto"/>
        <w:ind w:firstLine="420" w:firstLineChars="200"/>
        <w:jc w:val="right"/>
        <w:textAlignment w:val="auto"/>
        <w:rPr>
          <w:rFonts w:hint="eastAsia" w:ascii="宋体" w:hAnsi="宋体" w:eastAsia="宋体" w:cs="宋体"/>
          <w:color w:val="auto"/>
          <w:sz w:val="21"/>
          <w:szCs w:val="21"/>
        </w:rPr>
      </w:pPr>
    </w:p>
    <w:p w14:paraId="478D4703">
      <w:pPr>
        <w:pStyle w:val="14"/>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注：1.</w:t>
      </w:r>
      <w:r>
        <w:rPr>
          <w:rFonts w:hint="eastAsia" w:ascii="宋体" w:hAnsi="宋体" w:eastAsia="宋体" w:cs="宋体"/>
          <w:i w:val="0"/>
          <w:iCs w:val="0"/>
          <w:caps w:val="0"/>
          <w:color w:val="auto"/>
          <w:spacing w:val="0"/>
          <w:sz w:val="21"/>
          <w:szCs w:val="21"/>
          <w:shd w:val="clear" w:color="auto" w:fill="FFFFFF"/>
        </w:rPr>
        <w:t>供应商</w:t>
      </w:r>
      <w:r>
        <w:rPr>
          <w:rFonts w:hint="eastAsia" w:ascii="宋体" w:hAnsi="宋体" w:eastAsia="宋体" w:cs="宋体"/>
          <w:color w:val="auto"/>
          <w:sz w:val="21"/>
          <w:szCs w:val="21"/>
        </w:rPr>
        <w:t>须在投标文件中按此模板提供承诺函，未提供视为未实质性响应招标文件要求，按无效投标处理。</w:t>
      </w:r>
    </w:p>
    <w:p w14:paraId="50E43E6A">
      <w:pPr>
        <w:pStyle w:val="14"/>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w:t>
      </w:r>
      <w:r>
        <w:rPr>
          <w:rFonts w:hint="eastAsia" w:ascii="宋体" w:hAnsi="宋体" w:eastAsia="宋体" w:cs="宋体"/>
          <w:i w:val="0"/>
          <w:iCs w:val="0"/>
          <w:caps w:val="0"/>
          <w:color w:val="auto"/>
          <w:spacing w:val="0"/>
          <w:sz w:val="21"/>
          <w:szCs w:val="21"/>
          <w:shd w:val="clear" w:color="auto" w:fill="FFFFFF"/>
        </w:rPr>
        <w:t>供应商</w:t>
      </w:r>
      <w:r>
        <w:rPr>
          <w:rFonts w:hint="eastAsia" w:ascii="宋体" w:hAnsi="宋体" w:eastAsia="宋体" w:cs="宋体"/>
          <w:color w:val="auto"/>
          <w:sz w:val="21"/>
          <w:szCs w:val="21"/>
        </w:rPr>
        <w:t>的法定代表人或者授权代表的签字或盖章应真实、有效，如由授权代表签字或盖章的，应提供“法定代表人授权书”</w:t>
      </w:r>
      <w:r>
        <w:rPr>
          <w:rFonts w:hint="eastAsia" w:ascii="宋体" w:hAnsi="宋体" w:eastAsia="宋体" w:cs="宋体"/>
          <w:color w:val="auto"/>
          <w:sz w:val="21"/>
          <w:szCs w:val="21"/>
          <w:lang w:eastAsia="zh-CN"/>
        </w:rPr>
        <w:t>。</w:t>
      </w:r>
    </w:p>
    <w:p w14:paraId="55613DAB">
      <w:pPr>
        <w:keepNext w:val="0"/>
        <w:keepLines w:val="0"/>
        <w:pageBreakBefore w:val="0"/>
        <w:kinsoku/>
        <w:wordWrap/>
        <w:overflowPunct/>
        <w:topLinePunct w:val="0"/>
        <w:autoSpaceDE/>
        <w:autoSpaceDN/>
        <w:bidi w:val="0"/>
        <w:adjustRightInd w:val="0"/>
        <w:snapToGrid w:val="0"/>
        <w:spacing w:line="360" w:lineRule="auto"/>
        <w:ind w:firstLine="211" w:firstLineChars="100"/>
        <w:jc w:val="left"/>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b/>
          <w:color w:val="auto"/>
          <w:sz w:val="21"/>
          <w:szCs w:val="21"/>
          <w:lang w:eastAsia="zh-CN"/>
        </w:rPr>
        <w:tab/>
      </w:r>
      <w:r>
        <w:rPr>
          <w:rFonts w:hint="eastAsia" w:ascii="宋体" w:hAnsi="宋体" w:eastAsia="宋体" w:cs="宋体"/>
          <w:b w:val="0"/>
          <w:bCs/>
          <w:color w:val="auto"/>
          <w:sz w:val="21"/>
          <w:szCs w:val="21"/>
          <w:lang w:val="en-US" w:eastAsia="zh-CN"/>
        </w:rPr>
        <w:t>3.</w:t>
      </w:r>
      <w:r>
        <w:rPr>
          <w:rFonts w:hint="eastAsia" w:ascii="宋体" w:hAnsi="宋体" w:eastAsia="宋体" w:cs="宋体"/>
          <w:i w:val="0"/>
          <w:iCs w:val="0"/>
          <w:caps w:val="0"/>
          <w:color w:val="auto"/>
          <w:spacing w:val="0"/>
          <w:sz w:val="21"/>
          <w:szCs w:val="21"/>
          <w:shd w:val="clear" w:color="auto" w:fill="FFFFFF"/>
        </w:rPr>
        <w:t>采购人有权在签订合同前要求中标供应商提供相关证明材料以核实中标供应商承诺事项的真实性</w:t>
      </w:r>
      <w:r>
        <w:rPr>
          <w:rFonts w:hint="eastAsia" w:ascii="宋体" w:hAnsi="宋体" w:eastAsia="宋体" w:cs="宋体"/>
          <w:i w:val="0"/>
          <w:iCs w:val="0"/>
          <w:caps w:val="0"/>
          <w:color w:val="auto"/>
          <w:spacing w:val="0"/>
          <w:sz w:val="21"/>
          <w:szCs w:val="21"/>
          <w:shd w:val="clear" w:color="auto" w:fill="FFFFFF"/>
          <w:lang w:eastAsia="zh-CN"/>
        </w:rPr>
        <w:t>。</w:t>
      </w:r>
    </w:p>
    <w:p w14:paraId="333E3BDD">
      <w:pPr>
        <w:widowControl/>
        <w:jc w:val="left"/>
        <w:rPr>
          <w:rFonts w:ascii="宋体" w:hAnsi="宋体" w:cs="宋体"/>
          <w:b/>
          <w:sz w:val="28"/>
          <w:szCs w:val="28"/>
        </w:rPr>
      </w:pPr>
    </w:p>
    <w:p w14:paraId="2E044FE5">
      <w:pPr>
        <w:rPr>
          <w:rFonts w:hint="eastAsia" w:ascii="宋体" w:hAnsi="宋体" w:cs="宋体"/>
          <w:szCs w:val="28"/>
        </w:rPr>
      </w:pPr>
      <w:bookmarkStart w:id="1089" w:name="_Toc23696"/>
      <w:r>
        <w:rPr>
          <w:rFonts w:hint="eastAsia" w:ascii="宋体" w:hAnsi="宋体" w:cs="宋体"/>
          <w:szCs w:val="28"/>
        </w:rPr>
        <w:br w:type="page"/>
      </w:r>
    </w:p>
    <w:p w14:paraId="03138E74">
      <w:pPr>
        <w:pStyle w:val="4"/>
        <w:spacing w:line="400" w:lineRule="exact"/>
        <w:ind w:firstLine="562"/>
        <w:jc w:val="center"/>
        <w:rPr>
          <w:rFonts w:ascii="宋体" w:hAnsi="宋体" w:cs="宋体"/>
          <w:szCs w:val="28"/>
        </w:rPr>
      </w:pPr>
      <w:r>
        <w:rPr>
          <w:rFonts w:hint="eastAsia" w:ascii="宋体" w:hAnsi="宋体" w:cs="宋体"/>
          <w:szCs w:val="28"/>
        </w:rPr>
        <w:t>九、</w:t>
      </w:r>
      <w:bookmarkStart w:id="1090" w:name="_Toc5030"/>
      <w:bookmarkStart w:id="1091" w:name="_Toc9728"/>
      <w:bookmarkStart w:id="1092" w:name="_Toc18024_WPSOffice_Level3"/>
      <w:r>
        <w:rPr>
          <w:rFonts w:hint="eastAsia" w:ascii="宋体" w:hAnsi="宋体" w:cs="宋体"/>
          <w:szCs w:val="28"/>
        </w:rPr>
        <w:t>招标代理费支付承诺</w:t>
      </w:r>
      <w:bookmarkEnd w:id="1056"/>
      <w:bookmarkEnd w:id="1057"/>
      <w:bookmarkEnd w:id="1058"/>
      <w:bookmarkEnd w:id="1089"/>
      <w:bookmarkEnd w:id="1090"/>
      <w:bookmarkEnd w:id="1091"/>
      <w:bookmarkEnd w:id="1092"/>
    </w:p>
    <w:p w14:paraId="4841D41E">
      <w:pPr>
        <w:rPr>
          <w:rFonts w:ascii="宋体" w:hAnsi="宋体" w:cs="宋体"/>
          <w:sz w:val="21"/>
          <w:szCs w:val="21"/>
          <w:u w:val="single"/>
        </w:rPr>
      </w:pPr>
    </w:p>
    <w:p w14:paraId="63AA4F4D">
      <w:pPr>
        <w:rPr>
          <w:rFonts w:ascii="宋体" w:hAnsi="宋体" w:cs="宋体"/>
          <w:sz w:val="21"/>
          <w:szCs w:val="21"/>
        </w:rPr>
      </w:pPr>
      <w:r>
        <w:rPr>
          <w:rFonts w:hint="eastAsia" w:ascii="宋体" w:hAnsi="宋体" w:cs="宋体"/>
          <w:sz w:val="21"/>
          <w:szCs w:val="21"/>
          <w:u w:val="single"/>
        </w:rPr>
        <w:t>采购代理机构</w:t>
      </w:r>
      <w:r>
        <w:rPr>
          <w:rFonts w:hint="eastAsia" w:ascii="宋体" w:hAnsi="宋体" w:cs="宋体"/>
          <w:sz w:val="21"/>
          <w:szCs w:val="21"/>
        </w:rPr>
        <w:t>：</w:t>
      </w:r>
    </w:p>
    <w:p w14:paraId="5D4AC207">
      <w:pPr>
        <w:rPr>
          <w:rFonts w:ascii="宋体" w:hAnsi="宋体" w:cs="宋体"/>
          <w:sz w:val="21"/>
          <w:szCs w:val="21"/>
        </w:rPr>
      </w:pPr>
    </w:p>
    <w:p w14:paraId="58AB1A8E">
      <w:pPr>
        <w:spacing w:line="360" w:lineRule="auto"/>
        <w:ind w:firstLine="420" w:firstLineChars="200"/>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）郑重承诺，我方参加</w:t>
      </w:r>
      <w:r>
        <w:rPr>
          <w:rFonts w:hint="eastAsia" w:ascii="宋体" w:hAnsi="宋体" w:cs="宋体"/>
          <w:sz w:val="21"/>
          <w:szCs w:val="21"/>
          <w:u w:val="single"/>
        </w:rPr>
        <w:t xml:space="preserve">           </w:t>
      </w:r>
      <w:r>
        <w:rPr>
          <w:rFonts w:hint="eastAsia" w:ascii="宋体" w:hAnsi="宋体" w:cs="宋体"/>
          <w:sz w:val="21"/>
          <w:szCs w:val="21"/>
        </w:rPr>
        <w:t>（项目名称）的采购活动如有幸成为中标人，我公司将严格按照该项目约定的招标代理费金额在中标结果公示后以现金或转账方式足额、及时支付。如未按要求支付费用所产生的一切后果，均由我公司自行负责。</w:t>
      </w:r>
    </w:p>
    <w:p w14:paraId="700AD84C">
      <w:pPr>
        <w:spacing w:line="360" w:lineRule="auto"/>
        <w:ind w:firstLine="420" w:firstLineChars="200"/>
        <w:rPr>
          <w:rFonts w:ascii="宋体" w:hAnsi="宋体" w:cs="宋体"/>
          <w:sz w:val="21"/>
          <w:szCs w:val="21"/>
        </w:rPr>
      </w:pPr>
      <w:r>
        <w:rPr>
          <w:rFonts w:hint="eastAsia" w:ascii="宋体" w:hAnsi="宋体" w:cs="宋体"/>
          <w:sz w:val="21"/>
          <w:szCs w:val="21"/>
        </w:rPr>
        <w:t>特此承诺。</w:t>
      </w:r>
    </w:p>
    <w:p w14:paraId="46311316">
      <w:pPr>
        <w:rPr>
          <w:rFonts w:ascii="宋体" w:hAnsi="宋体" w:cs="宋体"/>
          <w:sz w:val="21"/>
          <w:szCs w:val="21"/>
        </w:rPr>
      </w:pPr>
    </w:p>
    <w:p w14:paraId="3EEB1FA9">
      <w:pPr>
        <w:rPr>
          <w:rFonts w:ascii="宋体" w:hAnsi="宋体" w:cs="宋体"/>
          <w:sz w:val="21"/>
          <w:szCs w:val="21"/>
        </w:rPr>
      </w:pPr>
    </w:p>
    <w:p w14:paraId="6759B6EF">
      <w:pPr>
        <w:rPr>
          <w:rFonts w:ascii="宋体" w:hAnsi="宋体" w:cs="宋体"/>
          <w:sz w:val="21"/>
          <w:szCs w:val="21"/>
        </w:rPr>
      </w:pPr>
    </w:p>
    <w:p w14:paraId="57A651FB">
      <w:pPr>
        <w:rPr>
          <w:rFonts w:ascii="宋体" w:hAnsi="宋体" w:cs="宋体"/>
          <w:sz w:val="21"/>
          <w:szCs w:val="21"/>
        </w:rPr>
      </w:pPr>
    </w:p>
    <w:p w14:paraId="664EB944">
      <w:pPr>
        <w:rPr>
          <w:rFonts w:ascii="宋体" w:hAnsi="宋体" w:cs="宋体"/>
          <w:sz w:val="21"/>
          <w:szCs w:val="21"/>
        </w:rPr>
      </w:pPr>
    </w:p>
    <w:p w14:paraId="50AB7C8E">
      <w:pPr>
        <w:rPr>
          <w:rFonts w:ascii="宋体" w:hAnsi="宋体" w:cs="宋体"/>
          <w:sz w:val="21"/>
          <w:szCs w:val="21"/>
        </w:rPr>
      </w:pPr>
    </w:p>
    <w:p w14:paraId="4AB71C5C">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AA00F5B">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32D5489E">
      <w:pPr>
        <w:wordWrap w:val="0"/>
        <w:spacing w:line="360" w:lineRule="auto"/>
        <w:ind w:right="1470" w:firstLine="420" w:firstLineChars="200"/>
        <w:jc w:val="right"/>
        <w:rPr>
          <w:rFonts w:ascii="宋体" w:hAnsi="宋体" w:cs="宋体"/>
          <w:sz w:val="21"/>
          <w:szCs w:val="21"/>
          <w:u w:val="single"/>
        </w:rPr>
      </w:pPr>
    </w:p>
    <w:p w14:paraId="67C65AA4">
      <w:pPr>
        <w:spacing w:line="360" w:lineRule="auto"/>
        <w:ind w:right="1260" w:firstLine="420" w:firstLineChars="200"/>
        <w:jc w:val="right"/>
        <w:rPr>
          <w:rFonts w:ascii="宋体" w:hAnsi="宋体" w:cs="宋体"/>
          <w:sz w:val="21"/>
          <w:szCs w:val="21"/>
          <w:u w:val="single"/>
        </w:rPr>
      </w:pPr>
    </w:p>
    <w:p w14:paraId="3C5E883A">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377F4C3C">
      <w:pPr>
        <w:pStyle w:val="4"/>
        <w:spacing w:line="400" w:lineRule="exact"/>
        <w:ind w:firstLine="562"/>
        <w:jc w:val="center"/>
        <w:rPr>
          <w:rFonts w:ascii="宋体" w:hAnsi="宋体" w:cs="宋体"/>
          <w:szCs w:val="28"/>
        </w:rPr>
      </w:pPr>
      <w:r>
        <w:rPr>
          <w:rFonts w:ascii="宋体" w:hAnsi="宋体" w:cs="宋体"/>
          <w:szCs w:val="28"/>
        </w:rPr>
        <w:br w:type="page"/>
      </w:r>
      <w:bookmarkStart w:id="1093" w:name="_Toc25098"/>
      <w:bookmarkStart w:id="1094" w:name="_Toc1434"/>
      <w:bookmarkStart w:id="1095" w:name="_Toc30116"/>
      <w:r>
        <w:rPr>
          <w:rFonts w:hint="eastAsia" w:ascii="宋体" w:hAnsi="宋体" w:cs="宋体"/>
          <w:szCs w:val="28"/>
        </w:rPr>
        <w:t>十、投标承诺函</w:t>
      </w:r>
      <w:bookmarkEnd w:id="1093"/>
      <w:bookmarkEnd w:id="1094"/>
    </w:p>
    <w:bookmarkEnd w:id="1095"/>
    <w:p w14:paraId="5CF5B38D">
      <w:pPr>
        <w:spacing w:line="360" w:lineRule="auto"/>
        <w:rPr>
          <w:rFonts w:ascii="宋体" w:hAnsi="宋体"/>
          <w:sz w:val="21"/>
        </w:rPr>
      </w:pPr>
      <w:r>
        <w:rPr>
          <w:rFonts w:hint="eastAsia" w:ascii="宋体" w:hAnsi="宋体"/>
          <w:sz w:val="21"/>
        </w:rPr>
        <w:t>致（采购人及采购代理机构）：</w:t>
      </w:r>
    </w:p>
    <w:p w14:paraId="773A6CA0">
      <w:pPr>
        <w:spacing w:line="360" w:lineRule="auto"/>
        <w:ind w:firstLine="420" w:firstLineChars="200"/>
        <w:rPr>
          <w:rFonts w:ascii="宋体" w:hAnsi="宋体"/>
          <w:sz w:val="21"/>
        </w:rPr>
      </w:pPr>
      <w:r>
        <w:rPr>
          <w:rFonts w:hint="eastAsia" w:ascii="宋体" w:hAnsi="宋体"/>
          <w:sz w:val="21"/>
        </w:rPr>
        <w:t>我公司作为本次采购项目的</w:t>
      </w:r>
      <w:r>
        <w:rPr>
          <w:rFonts w:hint="eastAsia" w:ascii="宋体" w:hAnsi="宋体"/>
          <w:sz w:val="21"/>
          <w:lang w:eastAsia="zh-CN"/>
        </w:rPr>
        <w:t>供应商</w:t>
      </w:r>
      <w:r>
        <w:rPr>
          <w:rFonts w:hint="eastAsia" w:ascii="宋体" w:hAnsi="宋体"/>
          <w:sz w:val="21"/>
        </w:rPr>
        <w:t>，根据招标文件要求，现郑重承诺如下：</w:t>
      </w:r>
    </w:p>
    <w:p w14:paraId="2B73A2D8">
      <w:pPr>
        <w:spacing w:line="360" w:lineRule="auto"/>
        <w:ind w:firstLine="420" w:firstLineChars="200"/>
        <w:rPr>
          <w:rFonts w:ascii="宋体" w:hAnsi="宋体"/>
          <w:sz w:val="21"/>
        </w:rPr>
      </w:pPr>
      <w:r>
        <w:rPr>
          <w:rFonts w:hint="eastAsia" w:ascii="宋体" w:hAnsi="宋体"/>
          <w:sz w:val="21"/>
        </w:rPr>
        <w:t>一、具备《中华人民共和国政府采购法》第二十二条第一款和本项目规定的条件：</w:t>
      </w:r>
    </w:p>
    <w:p w14:paraId="7FDC8394">
      <w:pPr>
        <w:spacing w:line="360" w:lineRule="auto"/>
        <w:ind w:firstLine="420" w:firstLineChars="200"/>
        <w:rPr>
          <w:rFonts w:ascii="宋体" w:hAnsi="宋体" w:cs="宋体"/>
          <w:sz w:val="21"/>
          <w:szCs w:val="21"/>
        </w:rPr>
      </w:pPr>
      <w:r>
        <w:rPr>
          <w:rFonts w:hint="eastAsia" w:ascii="宋体" w:hAnsi="宋体" w:cs="宋体"/>
          <w:sz w:val="21"/>
          <w:szCs w:val="21"/>
        </w:rPr>
        <w:t>（一）具有独立承担民事责任的能力；</w:t>
      </w:r>
    </w:p>
    <w:p w14:paraId="249F866A">
      <w:pPr>
        <w:spacing w:line="360" w:lineRule="auto"/>
        <w:ind w:firstLine="420" w:firstLineChars="200"/>
        <w:rPr>
          <w:rFonts w:ascii="宋体" w:hAnsi="宋体" w:cs="宋体"/>
          <w:sz w:val="21"/>
          <w:szCs w:val="21"/>
        </w:rPr>
      </w:pPr>
      <w:r>
        <w:rPr>
          <w:rFonts w:hint="eastAsia" w:ascii="宋体" w:hAnsi="宋体" w:cs="宋体"/>
          <w:sz w:val="21"/>
          <w:szCs w:val="21"/>
        </w:rPr>
        <w:t>（二）具有良好的商业信誉和健全的财务会计制度；</w:t>
      </w:r>
      <w:r>
        <w:rPr>
          <w:rFonts w:ascii="宋体" w:hAnsi="宋体" w:cs="宋体"/>
          <w:sz w:val="21"/>
          <w:szCs w:val="21"/>
        </w:rPr>
        <w:t xml:space="preserve"> </w:t>
      </w:r>
    </w:p>
    <w:p w14:paraId="32096C1E">
      <w:pPr>
        <w:spacing w:line="360" w:lineRule="auto"/>
        <w:ind w:firstLine="420" w:firstLineChars="200"/>
        <w:rPr>
          <w:rFonts w:ascii="宋体" w:hAnsi="宋体" w:cs="宋体"/>
          <w:sz w:val="21"/>
          <w:szCs w:val="21"/>
        </w:rPr>
      </w:pPr>
      <w:r>
        <w:rPr>
          <w:rFonts w:hint="eastAsia" w:ascii="宋体" w:hAnsi="宋体" w:cs="宋体"/>
          <w:sz w:val="21"/>
          <w:szCs w:val="21"/>
        </w:rPr>
        <w:t>（三）具有履行合同所必需的设备和专业技术能力；</w:t>
      </w:r>
    </w:p>
    <w:p w14:paraId="2F5475F6">
      <w:pPr>
        <w:spacing w:line="360" w:lineRule="auto"/>
        <w:ind w:firstLine="420" w:firstLineChars="200"/>
        <w:rPr>
          <w:rFonts w:ascii="宋体" w:hAnsi="宋体" w:cs="宋体"/>
          <w:sz w:val="21"/>
          <w:szCs w:val="21"/>
        </w:rPr>
      </w:pPr>
      <w:r>
        <w:rPr>
          <w:rFonts w:hint="eastAsia" w:ascii="宋体" w:hAnsi="宋体" w:cs="宋体"/>
          <w:sz w:val="21"/>
          <w:szCs w:val="21"/>
        </w:rPr>
        <w:t>（四）有依法缴纳税收和社会保障资金的良好记录；</w:t>
      </w:r>
    </w:p>
    <w:p w14:paraId="31411E57">
      <w:pPr>
        <w:spacing w:line="360" w:lineRule="auto"/>
        <w:ind w:firstLine="420" w:firstLineChars="200"/>
        <w:rPr>
          <w:rFonts w:ascii="宋体" w:hAnsi="宋体" w:cs="宋体"/>
          <w:sz w:val="21"/>
          <w:szCs w:val="21"/>
        </w:rPr>
      </w:pPr>
      <w:r>
        <w:rPr>
          <w:rFonts w:hint="eastAsia" w:ascii="宋体" w:hAnsi="宋体" w:cs="宋体"/>
          <w:sz w:val="21"/>
          <w:szCs w:val="21"/>
        </w:rPr>
        <w:t>（五）参加政府采购活动前三年内，在经营活动中没有重大违法记录；</w:t>
      </w:r>
    </w:p>
    <w:p w14:paraId="4D29832B">
      <w:pPr>
        <w:spacing w:line="360" w:lineRule="auto"/>
        <w:ind w:firstLine="420" w:firstLineChars="200"/>
        <w:rPr>
          <w:rFonts w:hint="eastAsia" w:ascii="宋体" w:hAnsi="宋体" w:cs="宋体"/>
          <w:sz w:val="21"/>
          <w:szCs w:val="21"/>
        </w:rPr>
      </w:pPr>
      <w:r>
        <w:rPr>
          <w:rFonts w:hint="eastAsia" w:ascii="宋体" w:hAnsi="宋体" w:cs="宋体"/>
          <w:sz w:val="21"/>
          <w:szCs w:val="21"/>
        </w:rPr>
        <w:t>（六）未被列入失信被执行人、重大税收违法失信主体、政府采购严重违法失信行为记录名单的证明材料。</w:t>
      </w:r>
    </w:p>
    <w:p w14:paraId="265AAD65">
      <w:pPr>
        <w:spacing w:line="360" w:lineRule="auto"/>
        <w:ind w:firstLine="420" w:firstLineChars="200"/>
        <w:rPr>
          <w:rFonts w:ascii="宋体" w:hAnsi="宋体" w:cs="宋体"/>
          <w:sz w:val="21"/>
          <w:szCs w:val="21"/>
        </w:rPr>
      </w:pPr>
      <w:r>
        <w:rPr>
          <w:rFonts w:hint="eastAsia" w:ascii="宋体" w:hAnsi="宋体" w:cs="宋体"/>
          <w:sz w:val="21"/>
          <w:szCs w:val="21"/>
        </w:rPr>
        <w:t>（七）法律、行政法规规定的其他条件；</w:t>
      </w:r>
    </w:p>
    <w:p w14:paraId="5920995B">
      <w:pPr>
        <w:spacing w:line="360" w:lineRule="auto"/>
        <w:ind w:firstLine="420" w:firstLineChars="200"/>
        <w:rPr>
          <w:rFonts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八</w:t>
      </w:r>
      <w:r>
        <w:rPr>
          <w:rFonts w:hint="eastAsia" w:ascii="宋体" w:hAnsi="宋体" w:cs="宋体"/>
          <w:sz w:val="21"/>
          <w:szCs w:val="21"/>
          <w:lang w:eastAsia="zh-CN"/>
        </w:rPr>
        <w:t>）</w:t>
      </w:r>
      <w:r>
        <w:rPr>
          <w:rFonts w:hint="eastAsia" w:ascii="宋体" w:hAnsi="宋体" w:cs="宋体"/>
          <w:sz w:val="21"/>
          <w:szCs w:val="21"/>
        </w:rPr>
        <w:t>根据采购项目提出的特殊条件。</w:t>
      </w:r>
    </w:p>
    <w:p w14:paraId="17003F18">
      <w:pPr>
        <w:spacing w:line="360" w:lineRule="auto"/>
        <w:ind w:firstLine="420" w:firstLineChars="200"/>
        <w:rPr>
          <w:rFonts w:ascii="宋体" w:hAnsi="宋体"/>
          <w:sz w:val="21"/>
        </w:rPr>
      </w:pPr>
      <w:r>
        <w:rPr>
          <w:rFonts w:hint="eastAsia" w:ascii="宋体" w:hAnsi="宋体"/>
          <w:sz w:val="21"/>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14:paraId="4056E7D2">
      <w:pPr>
        <w:spacing w:line="360" w:lineRule="auto"/>
        <w:ind w:firstLine="420" w:firstLineChars="200"/>
        <w:rPr>
          <w:rFonts w:ascii="宋体" w:hAnsi="宋体"/>
          <w:sz w:val="21"/>
        </w:rPr>
      </w:pPr>
      <w:r>
        <w:rPr>
          <w:rFonts w:hint="eastAsia" w:ascii="宋体" w:hAnsi="宋体"/>
          <w:sz w:val="21"/>
        </w:rPr>
        <w:t>三、参加本次招标采购活动，不存在与单位负责人为同一人或者存在直接控股、管理关系的其他供应商参与同一合同项下的政府采购活动的行为。</w:t>
      </w:r>
    </w:p>
    <w:p w14:paraId="7635CE74">
      <w:pPr>
        <w:spacing w:line="360" w:lineRule="auto"/>
        <w:ind w:firstLine="420" w:firstLineChars="200"/>
        <w:rPr>
          <w:rFonts w:ascii="宋体" w:hAnsi="宋体"/>
          <w:sz w:val="21"/>
        </w:rPr>
      </w:pPr>
      <w:r>
        <w:rPr>
          <w:rFonts w:hint="eastAsia" w:ascii="宋体" w:hAnsi="宋体"/>
          <w:sz w:val="21"/>
        </w:rPr>
        <w:t>四、参加本次招标采购活动，不存在为采购项目提供整体设计、规范编制或者项目管理、监理、检测等服务的行为。</w:t>
      </w:r>
    </w:p>
    <w:p w14:paraId="44F956D1">
      <w:pPr>
        <w:spacing w:line="360" w:lineRule="auto"/>
        <w:ind w:firstLine="420" w:firstLineChars="200"/>
        <w:rPr>
          <w:rFonts w:ascii="宋体" w:hAnsi="宋体"/>
          <w:sz w:val="21"/>
        </w:rPr>
      </w:pPr>
      <w:r>
        <w:rPr>
          <w:rFonts w:hint="eastAsia" w:ascii="宋体" w:hAnsi="宋体"/>
          <w:sz w:val="21"/>
        </w:rPr>
        <w:t>五、参加本次招标采购活动，不存在和其他供应商在同一合同项下的采购项目中，同时委托同一个自然人、同一家庭的人员、同一单位的人员作为代理人的行为。</w:t>
      </w:r>
    </w:p>
    <w:p w14:paraId="2CFBC1E5">
      <w:pPr>
        <w:spacing w:line="360" w:lineRule="auto"/>
        <w:ind w:firstLine="420" w:firstLineChars="200"/>
        <w:rPr>
          <w:rFonts w:ascii="宋体" w:hAnsi="宋体"/>
          <w:sz w:val="21"/>
        </w:rPr>
      </w:pPr>
      <w:r>
        <w:rPr>
          <w:rFonts w:hint="eastAsia" w:ascii="宋体" w:hAnsi="宋体"/>
          <w:sz w:val="21"/>
        </w:rPr>
        <w:t>六、</w:t>
      </w:r>
      <w:r>
        <w:rPr>
          <w:rFonts w:hint="eastAsia" w:ascii="宋体" w:hAnsi="宋体"/>
          <w:sz w:val="21"/>
          <w:lang w:eastAsia="zh-CN"/>
        </w:rPr>
        <w:t>供应商</w:t>
      </w:r>
      <w:r>
        <w:rPr>
          <w:rFonts w:hint="eastAsia" w:ascii="宋体" w:hAnsi="宋体"/>
          <w:sz w:val="21"/>
        </w:rPr>
        <w:t>参加本次政府采购活动要求在近三年内</w:t>
      </w:r>
      <w:r>
        <w:rPr>
          <w:rFonts w:hint="eastAsia" w:ascii="宋体" w:hAnsi="宋体"/>
          <w:sz w:val="21"/>
          <w:lang w:eastAsia="zh-CN"/>
        </w:rPr>
        <w:t>供应商</w:t>
      </w:r>
      <w:r>
        <w:rPr>
          <w:rFonts w:hint="eastAsia" w:ascii="宋体" w:hAnsi="宋体"/>
          <w:sz w:val="21"/>
        </w:rPr>
        <w:t>和其法定代表人没有行贿犯罪行为。</w:t>
      </w:r>
    </w:p>
    <w:p w14:paraId="225CD20D">
      <w:pPr>
        <w:spacing w:line="360" w:lineRule="auto"/>
        <w:ind w:firstLine="420" w:firstLineChars="200"/>
        <w:rPr>
          <w:rFonts w:ascii="宋体" w:hAnsi="宋体"/>
          <w:sz w:val="21"/>
        </w:rPr>
      </w:pPr>
      <w:r>
        <w:rPr>
          <w:rFonts w:hint="eastAsia" w:ascii="宋体" w:hAnsi="宋体"/>
          <w:sz w:val="21"/>
        </w:rPr>
        <w:t>七、投标文件中提供的能够给予我公司带来优惠、好处的任何材料资料和技术、服务、商务等响应承诺情况都是真实的、有效的、合法的。</w:t>
      </w:r>
    </w:p>
    <w:p w14:paraId="5A297B83">
      <w:pPr>
        <w:spacing w:line="360" w:lineRule="auto"/>
        <w:ind w:firstLine="420" w:firstLineChars="200"/>
        <w:rPr>
          <w:rFonts w:ascii="宋体" w:hAnsi="宋体"/>
          <w:sz w:val="21"/>
        </w:rPr>
      </w:pPr>
      <w:r>
        <w:rPr>
          <w:rFonts w:hint="eastAsia" w:ascii="宋体" w:hAnsi="宋体"/>
          <w:sz w:val="21"/>
        </w:rPr>
        <w:t>八、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w:t>
      </w:r>
    </w:p>
    <w:p w14:paraId="5415BB66">
      <w:pPr>
        <w:spacing w:line="360" w:lineRule="auto"/>
        <w:ind w:firstLine="420" w:firstLineChars="200"/>
        <w:rPr>
          <w:rFonts w:ascii="宋体" w:hAnsi="宋体"/>
          <w:sz w:val="21"/>
        </w:rPr>
      </w:pPr>
      <w:r>
        <w:rPr>
          <w:rFonts w:hint="eastAsia" w:ascii="宋体" w:hAnsi="宋体"/>
          <w:sz w:val="21"/>
        </w:rPr>
        <w:t>九、存在以下行为之一的愿意接受相关部门的处理：</w:t>
      </w:r>
    </w:p>
    <w:p w14:paraId="31C93A1A">
      <w:pPr>
        <w:spacing w:line="360" w:lineRule="auto"/>
        <w:ind w:firstLine="420" w:firstLineChars="200"/>
        <w:rPr>
          <w:rFonts w:ascii="宋体" w:hAnsi="宋体"/>
          <w:sz w:val="21"/>
        </w:rPr>
      </w:pPr>
      <w:r>
        <w:rPr>
          <w:rFonts w:hint="eastAsia" w:ascii="宋体" w:hAnsi="宋体"/>
          <w:sz w:val="21"/>
        </w:rPr>
        <w:t>（一）投标有效期内撤销响应文件的；</w:t>
      </w:r>
    </w:p>
    <w:p w14:paraId="4C2710F4">
      <w:pPr>
        <w:spacing w:line="360" w:lineRule="auto"/>
        <w:ind w:firstLine="420" w:firstLineChars="200"/>
        <w:rPr>
          <w:rFonts w:ascii="宋体" w:hAnsi="宋体"/>
          <w:sz w:val="21"/>
        </w:rPr>
      </w:pPr>
      <w:r>
        <w:rPr>
          <w:rFonts w:hint="eastAsia" w:ascii="宋体" w:hAnsi="宋体"/>
          <w:sz w:val="21"/>
        </w:rPr>
        <w:t>（二）在采购人确定中标人以前放弃中标候选资格的；</w:t>
      </w:r>
    </w:p>
    <w:p w14:paraId="7B3AB585">
      <w:pPr>
        <w:spacing w:line="360" w:lineRule="auto"/>
        <w:ind w:firstLine="420" w:firstLineChars="200"/>
        <w:rPr>
          <w:rFonts w:ascii="宋体" w:hAnsi="宋体"/>
          <w:sz w:val="21"/>
        </w:rPr>
      </w:pPr>
      <w:r>
        <w:rPr>
          <w:rFonts w:hint="eastAsia" w:ascii="宋体" w:hAnsi="宋体"/>
          <w:sz w:val="21"/>
        </w:rPr>
        <w:t>（三）由于中标人的原因未能按照招标文件的规定与采购人签订合同；</w:t>
      </w:r>
    </w:p>
    <w:p w14:paraId="626B8EDD">
      <w:pPr>
        <w:spacing w:line="360" w:lineRule="auto"/>
        <w:ind w:firstLine="420" w:firstLineChars="200"/>
        <w:rPr>
          <w:rFonts w:ascii="宋体" w:hAnsi="宋体"/>
          <w:sz w:val="21"/>
        </w:rPr>
      </w:pPr>
      <w:r>
        <w:rPr>
          <w:rFonts w:hint="eastAsia" w:ascii="宋体" w:hAnsi="宋体"/>
          <w:sz w:val="21"/>
        </w:rPr>
        <w:t>（四）由于中标人的原因未能按照招标文件的规定交纳履约保证金；</w:t>
      </w:r>
    </w:p>
    <w:p w14:paraId="7B092AF3">
      <w:pPr>
        <w:spacing w:line="360" w:lineRule="auto"/>
        <w:ind w:firstLine="420" w:firstLineChars="200"/>
        <w:rPr>
          <w:rFonts w:ascii="宋体" w:hAnsi="宋体"/>
          <w:sz w:val="21"/>
        </w:rPr>
      </w:pPr>
      <w:r>
        <w:rPr>
          <w:rFonts w:hint="eastAsia" w:ascii="宋体" w:hAnsi="宋体"/>
          <w:sz w:val="21"/>
        </w:rPr>
        <w:t>（五）在投标文件中提供虚假材料谋取中标；</w:t>
      </w:r>
    </w:p>
    <w:p w14:paraId="7839E271">
      <w:pPr>
        <w:spacing w:line="360" w:lineRule="auto"/>
        <w:ind w:firstLine="420" w:firstLineChars="200"/>
        <w:rPr>
          <w:rFonts w:ascii="宋体" w:hAnsi="宋体"/>
          <w:sz w:val="21"/>
        </w:rPr>
      </w:pPr>
      <w:r>
        <w:rPr>
          <w:rFonts w:hint="eastAsia" w:ascii="宋体" w:hAnsi="宋体"/>
          <w:sz w:val="21"/>
        </w:rPr>
        <w:t>（六）与采购人、其他供应商或者采购代理机构恶意串通的；</w:t>
      </w:r>
    </w:p>
    <w:p w14:paraId="56774FF2">
      <w:pPr>
        <w:spacing w:line="360" w:lineRule="auto"/>
        <w:ind w:firstLine="420" w:firstLineChars="200"/>
        <w:rPr>
          <w:rFonts w:ascii="宋体" w:hAnsi="宋体"/>
          <w:sz w:val="21"/>
        </w:rPr>
      </w:pPr>
      <w:r>
        <w:rPr>
          <w:rFonts w:hint="eastAsia" w:ascii="宋体" w:hAnsi="宋体"/>
          <w:sz w:val="21"/>
        </w:rPr>
        <w:t>（七）投标有效期内，</w:t>
      </w:r>
      <w:r>
        <w:rPr>
          <w:rFonts w:hint="eastAsia" w:ascii="宋体" w:hAnsi="宋体"/>
          <w:sz w:val="21"/>
          <w:lang w:eastAsia="zh-CN"/>
        </w:rPr>
        <w:t>供应商</w:t>
      </w:r>
      <w:r>
        <w:rPr>
          <w:rFonts w:hint="eastAsia" w:ascii="宋体" w:hAnsi="宋体"/>
          <w:sz w:val="21"/>
        </w:rPr>
        <w:t>在政府采购活动中有违法、违规、违纪行为。</w:t>
      </w:r>
    </w:p>
    <w:p w14:paraId="1AB12EAB">
      <w:pPr>
        <w:spacing w:line="360" w:lineRule="auto"/>
        <w:ind w:firstLine="420" w:firstLineChars="200"/>
        <w:rPr>
          <w:rFonts w:ascii="宋体" w:hAnsi="宋体"/>
          <w:sz w:val="21"/>
        </w:rPr>
      </w:pPr>
      <w:r>
        <w:rPr>
          <w:rFonts w:hint="eastAsia" w:ascii="宋体" w:hAnsi="宋体"/>
          <w:sz w:val="21"/>
        </w:rPr>
        <w:t>由此产生的一切法律后果和责任由我公司承担。我公司声明放弃对此提出任何异议和追索的权利。</w:t>
      </w:r>
    </w:p>
    <w:p w14:paraId="38E57BAF">
      <w:pPr>
        <w:spacing w:line="360" w:lineRule="auto"/>
        <w:ind w:firstLine="420" w:firstLineChars="200"/>
        <w:rPr>
          <w:rFonts w:ascii="宋体" w:hAnsi="宋体"/>
          <w:sz w:val="21"/>
        </w:rPr>
      </w:pPr>
      <w:r>
        <w:rPr>
          <w:rFonts w:hint="eastAsia" w:ascii="宋体" w:hAnsi="宋体"/>
          <w:sz w:val="21"/>
        </w:rPr>
        <w:t>本公司对上述承诺的内容事项真实性负责。如经查实上述承诺的内容事项存在虚假，我公司愿意接受以提供虚假材料谋取中标追究法律责任。</w:t>
      </w:r>
    </w:p>
    <w:p w14:paraId="60532944">
      <w:pPr>
        <w:spacing w:line="360" w:lineRule="auto"/>
        <w:rPr>
          <w:rFonts w:ascii="宋体" w:hAnsi="宋体"/>
          <w:sz w:val="21"/>
        </w:rPr>
      </w:pPr>
    </w:p>
    <w:p w14:paraId="30E229DC">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35D44BDB">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5297526">
      <w:pPr>
        <w:wordWrap w:val="0"/>
        <w:spacing w:line="360" w:lineRule="auto"/>
        <w:ind w:right="1470" w:firstLine="420" w:firstLineChars="200"/>
        <w:jc w:val="right"/>
        <w:rPr>
          <w:rFonts w:ascii="宋体" w:hAnsi="宋体" w:cs="宋体"/>
          <w:sz w:val="21"/>
          <w:szCs w:val="21"/>
          <w:u w:val="single"/>
        </w:rPr>
      </w:pPr>
    </w:p>
    <w:p w14:paraId="2D1F5D60">
      <w:pPr>
        <w:spacing w:line="360" w:lineRule="auto"/>
        <w:ind w:right="1260" w:firstLine="420" w:firstLineChars="200"/>
        <w:jc w:val="right"/>
        <w:rPr>
          <w:rFonts w:ascii="宋体" w:hAnsi="宋体" w:cs="宋体"/>
          <w:sz w:val="21"/>
          <w:szCs w:val="21"/>
          <w:u w:val="single"/>
        </w:rPr>
      </w:pPr>
    </w:p>
    <w:p w14:paraId="33A32407">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261FF485">
      <w:pPr>
        <w:widowControl/>
        <w:jc w:val="left"/>
        <w:rPr>
          <w:rFonts w:ascii="宋体" w:hAnsi="宋体" w:cs="宋体"/>
          <w:b/>
          <w:sz w:val="28"/>
          <w:szCs w:val="28"/>
        </w:rPr>
      </w:pPr>
    </w:p>
    <w:p w14:paraId="5ABCDE57">
      <w:pPr>
        <w:rPr>
          <w:rFonts w:ascii="宋体" w:hAnsi="宋体" w:cs="宋体"/>
          <w:szCs w:val="28"/>
        </w:rPr>
      </w:pPr>
      <w:bookmarkStart w:id="1096" w:name="_Toc4264"/>
      <w:bookmarkStart w:id="1097" w:name="_Toc31974"/>
      <w:r>
        <w:rPr>
          <w:rFonts w:hint="eastAsia" w:ascii="宋体" w:hAnsi="宋体" w:cs="宋体"/>
          <w:szCs w:val="28"/>
        </w:rPr>
        <w:br w:type="page"/>
      </w:r>
    </w:p>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96"/>
    <w:bookmarkEnd w:id="1097"/>
    <w:p w14:paraId="416A5D68">
      <w:pPr>
        <w:pStyle w:val="4"/>
        <w:spacing w:line="380" w:lineRule="exact"/>
        <w:ind w:firstLine="0" w:firstLineChars="0"/>
        <w:jc w:val="center"/>
        <w:rPr>
          <w:rFonts w:ascii="宋体" w:hAnsi="宋体" w:cs="宋体"/>
          <w:szCs w:val="28"/>
        </w:rPr>
      </w:pPr>
      <w:bookmarkStart w:id="1098" w:name="_Toc4987"/>
      <w:bookmarkStart w:id="1099" w:name="_Toc30146"/>
      <w:bookmarkStart w:id="1100" w:name="_Toc30799"/>
      <w:bookmarkStart w:id="1101" w:name="_Toc15999_WPSOffice_Level1"/>
      <w:bookmarkStart w:id="1102" w:name="_Toc10427"/>
      <w:bookmarkStart w:id="1103" w:name="_Toc12712"/>
      <w:bookmarkStart w:id="1104" w:name="_Toc6367"/>
      <w:bookmarkStart w:id="1105" w:name="_Toc4690"/>
      <w:bookmarkStart w:id="1106" w:name="_Toc3031"/>
      <w:bookmarkStart w:id="1107" w:name="_Toc775"/>
      <w:bookmarkStart w:id="1108" w:name="_Toc8856"/>
      <w:bookmarkStart w:id="1109" w:name="_Toc31768"/>
      <w:bookmarkStart w:id="1110" w:name="_Toc18423_WPSOffice_Level1"/>
      <w:bookmarkStart w:id="1111" w:name="_Toc17223"/>
      <w:bookmarkStart w:id="1112" w:name="_Toc26401"/>
      <w:bookmarkStart w:id="1113" w:name="_Toc31090"/>
      <w:bookmarkStart w:id="1114" w:name="_Toc2909"/>
      <w:bookmarkStart w:id="1115" w:name="_Toc7354"/>
      <w:bookmarkStart w:id="1116" w:name="_Toc19798"/>
      <w:bookmarkStart w:id="1117" w:name="_Toc23536"/>
      <w:bookmarkStart w:id="1118" w:name="_Toc1243"/>
      <w:bookmarkStart w:id="1119" w:name="_Toc28202"/>
      <w:bookmarkStart w:id="1120" w:name="_Toc448"/>
      <w:bookmarkStart w:id="1121" w:name="_Toc16666"/>
      <w:bookmarkStart w:id="1122" w:name="_Toc18752"/>
      <w:bookmarkStart w:id="1123" w:name="_Toc23967"/>
      <w:bookmarkStart w:id="1124" w:name="_Toc28"/>
      <w:r>
        <w:rPr>
          <w:rFonts w:hint="eastAsia" w:ascii="宋体" w:hAnsi="宋体" w:cs="宋体"/>
          <w:szCs w:val="28"/>
        </w:rPr>
        <w:t>十一、其他资料</w:t>
      </w:r>
      <w:bookmarkEnd w:id="1098"/>
      <w:bookmarkEnd w:id="1099"/>
    </w:p>
    <w:p w14:paraId="28CB6854"/>
    <w:p w14:paraId="49A6AD76">
      <w:pPr>
        <w:jc w:val="center"/>
        <w:rPr>
          <w:spacing w:val="6"/>
          <w:sz w:val="21"/>
          <w:szCs w:val="21"/>
        </w:rPr>
      </w:pPr>
      <w:r>
        <w:rPr>
          <w:rFonts w:hint="eastAsia"/>
        </w:rPr>
        <w:t>（</w:t>
      </w:r>
      <w:r>
        <w:rPr>
          <w:rFonts w:hint="eastAsia"/>
          <w:lang w:eastAsia="zh-CN"/>
        </w:rPr>
        <w:t>供应商</w:t>
      </w:r>
      <w:r>
        <w:rPr>
          <w:rFonts w:hint="eastAsia"/>
        </w:rPr>
        <w:t>认为应附的其他资料）</w:t>
      </w:r>
      <w:bookmarkStart w:id="1125" w:name="_Toc32599_WPSOffice_Level2"/>
      <w:bookmarkStart w:id="1126" w:name="_Toc31036"/>
      <w:bookmarkStart w:id="1127" w:name="_Toc497920545"/>
      <w:bookmarkStart w:id="1128" w:name="_Toc1613_WPSOffice_Level2"/>
      <w:bookmarkStart w:id="1129" w:name="_Toc31382"/>
      <w:bookmarkStart w:id="1130" w:name="_Toc32585_WPSOffice_Level2"/>
      <w:bookmarkStart w:id="1131" w:name="_Hlk492844196"/>
      <w:bookmarkStart w:id="1132" w:name="_Toc11260"/>
    </w:p>
    <w:bookmarkEnd w:id="1125"/>
    <w:bookmarkEnd w:id="1126"/>
    <w:bookmarkEnd w:id="1127"/>
    <w:bookmarkEnd w:id="1128"/>
    <w:bookmarkEnd w:id="1129"/>
    <w:bookmarkEnd w:id="1130"/>
    <w:bookmarkEnd w:id="1131"/>
    <w:bookmarkEnd w:id="1132"/>
    <w:p w14:paraId="3C112ECD">
      <w:pPr>
        <w:rPr>
          <w:rFonts w:ascii="宋体" w:hAnsi="宋体"/>
          <w:b/>
        </w:rPr>
      </w:pPr>
    </w:p>
    <w:p w14:paraId="36288B37">
      <w:pPr>
        <w:pStyle w:val="64"/>
        <w:spacing w:line="432" w:lineRule="auto"/>
        <w:rPr>
          <w:rStyle w:val="65"/>
          <w:rFonts w:ascii="仿宋" w:eastAsia="仿宋" w:cs="仿宋"/>
          <w:sz w:val="28"/>
          <w:szCs w:val="28"/>
        </w:rPr>
      </w:pPr>
    </w:p>
    <w:p w14:paraId="5D612F51">
      <w:pPr>
        <w:pStyle w:val="64"/>
        <w:spacing w:line="432" w:lineRule="auto"/>
        <w:rPr>
          <w:rStyle w:val="65"/>
          <w:rFonts w:ascii="仿宋" w:eastAsia="仿宋" w:cs="仿宋"/>
          <w:sz w:val="28"/>
          <w:szCs w:val="28"/>
        </w:rPr>
      </w:pPr>
    </w:p>
    <w:p w14:paraId="29392FBB">
      <w:pPr>
        <w:pStyle w:val="64"/>
        <w:spacing w:line="432" w:lineRule="auto"/>
        <w:rPr>
          <w:rStyle w:val="65"/>
          <w:rFonts w:ascii="仿宋" w:eastAsia="仿宋" w:cs="仿宋"/>
          <w:sz w:val="28"/>
          <w:szCs w:val="28"/>
        </w:rPr>
      </w:pPr>
    </w:p>
    <w:p w14:paraId="3C17E1CB">
      <w:pPr>
        <w:pStyle w:val="64"/>
        <w:spacing w:line="432" w:lineRule="auto"/>
        <w:rPr>
          <w:rStyle w:val="65"/>
          <w:rFonts w:ascii="仿宋" w:eastAsia="仿宋" w:cs="仿宋"/>
          <w:sz w:val="28"/>
          <w:szCs w:val="28"/>
        </w:rPr>
      </w:pPr>
    </w:p>
    <w:p w14:paraId="4C7C5671">
      <w:pPr>
        <w:pStyle w:val="64"/>
        <w:spacing w:line="432" w:lineRule="auto"/>
        <w:rPr>
          <w:rStyle w:val="65"/>
          <w:rFonts w:ascii="仿宋" w:eastAsia="仿宋" w:cs="仿宋"/>
          <w:sz w:val="28"/>
          <w:szCs w:val="28"/>
        </w:rPr>
      </w:pPr>
    </w:p>
    <w:p w14:paraId="6CAB3841">
      <w:pPr>
        <w:pStyle w:val="64"/>
        <w:spacing w:line="432" w:lineRule="auto"/>
        <w:rPr>
          <w:rStyle w:val="65"/>
          <w:rFonts w:ascii="仿宋" w:eastAsia="仿宋" w:cs="仿宋"/>
          <w:sz w:val="28"/>
          <w:szCs w:val="28"/>
        </w:rPr>
      </w:pPr>
    </w:p>
    <w:p w14:paraId="2C3A7C97">
      <w:pPr>
        <w:pStyle w:val="64"/>
        <w:spacing w:line="432" w:lineRule="auto"/>
        <w:rPr>
          <w:rStyle w:val="65"/>
          <w:rFonts w:ascii="仿宋" w:eastAsia="仿宋" w:cs="仿宋"/>
          <w:sz w:val="28"/>
          <w:szCs w:val="28"/>
        </w:rPr>
      </w:pPr>
    </w:p>
    <w:p w14:paraId="5249DE7A">
      <w:pPr>
        <w:pStyle w:val="64"/>
        <w:spacing w:line="432" w:lineRule="auto"/>
        <w:rPr>
          <w:rStyle w:val="65"/>
          <w:rFonts w:ascii="仿宋" w:eastAsia="仿宋" w:cs="仿宋"/>
          <w:sz w:val="28"/>
          <w:szCs w:val="28"/>
        </w:rPr>
      </w:pPr>
    </w:p>
    <w:p w14:paraId="3FD9BDD3">
      <w:pPr>
        <w:pStyle w:val="64"/>
        <w:spacing w:line="432" w:lineRule="auto"/>
        <w:rPr>
          <w:rStyle w:val="65"/>
          <w:rFonts w:ascii="仿宋" w:eastAsia="仿宋" w:cs="仿宋"/>
          <w:sz w:val="28"/>
          <w:szCs w:val="28"/>
        </w:rPr>
      </w:pPr>
    </w:p>
    <w:p w14:paraId="75703465">
      <w:pPr>
        <w:pStyle w:val="64"/>
        <w:spacing w:line="432" w:lineRule="auto"/>
        <w:rPr>
          <w:rStyle w:val="65"/>
          <w:rFonts w:ascii="仿宋" w:eastAsia="仿宋" w:cs="仿宋"/>
          <w:sz w:val="28"/>
          <w:szCs w:val="28"/>
        </w:rPr>
      </w:pPr>
    </w:p>
    <w:p w14:paraId="7488CCD6">
      <w:pPr>
        <w:pStyle w:val="64"/>
        <w:spacing w:line="432" w:lineRule="auto"/>
        <w:rPr>
          <w:rStyle w:val="65"/>
          <w:rFonts w:ascii="仿宋" w:eastAsia="仿宋" w:cs="仿宋"/>
          <w:sz w:val="28"/>
          <w:szCs w:val="28"/>
        </w:rPr>
      </w:pPr>
    </w:p>
    <w:p w14:paraId="44FA45D1">
      <w:pPr>
        <w:pStyle w:val="64"/>
        <w:spacing w:line="432" w:lineRule="auto"/>
        <w:rPr>
          <w:rStyle w:val="65"/>
          <w:rFonts w:ascii="仿宋" w:eastAsia="仿宋" w:cs="仿宋"/>
          <w:sz w:val="28"/>
          <w:szCs w:val="28"/>
        </w:rPr>
      </w:pPr>
    </w:p>
    <w:p w14:paraId="7F9A0445">
      <w:pPr>
        <w:pStyle w:val="64"/>
        <w:spacing w:line="432" w:lineRule="auto"/>
        <w:rPr>
          <w:rStyle w:val="65"/>
          <w:rFonts w:ascii="仿宋" w:eastAsia="仿宋" w:cs="仿宋"/>
          <w:sz w:val="28"/>
          <w:szCs w:val="28"/>
        </w:rPr>
      </w:pPr>
    </w:p>
    <w:p w14:paraId="0704A247">
      <w:pPr>
        <w:pStyle w:val="64"/>
        <w:spacing w:line="432" w:lineRule="auto"/>
        <w:rPr>
          <w:rStyle w:val="65"/>
          <w:rFonts w:ascii="仿宋" w:eastAsia="仿宋" w:cs="仿宋"/>
          <w:sz w:val="28"/>
          <w:szCs w:val="28"/>
        </w:rPr>
      </w:pPr>
    </w:p>
    <w:p w14:paraId="06A2B910">
      <w:pPr>
        <w:pStyle w:val="64"/>
        <w:spacing w:line="432" w:lineRule="auto"/>
        <w:rPr>
          <w:rStyle w:val="65"/>
          <w:rFonts w:ascii="仿宋" w:eastAsia="仿宋" w:cs="仿宋"/>
          <w:sz w:val="28"/>
          <w:szCs w:val="28"/>
        </w:rPr>
      </w:pPr>
    </w:p>
    <w:p w14:paraId="1E59EA91">
      <w:pPr>
        <w:pStyle w:val="64"/>
        <w:spacing w:line="432" w:lineRule="auto"/>
        <w:rPr>
          <w:rStyle w:val="65"/>
          <w:rFonts w:ascii="仿宋" w:eastAsia="仿宋" w:cs="仿宋"/>
          <w:sz w:val="28"/>
          <w:szCs w:val="28"/>
        </w:rPr>
      </w:pPr>
    </w:p>
    <w:p w14:paraId="684E08FB">
      <w:pPr>
        <w:pStyle w:val="64"/>
        <w:spacing w:line="432" w:lineRule="auto"/>
        <w:rPr>
          <w:rStyle w:val="65"/>
          <w:rFonts w:ascii="仿宋" w:eastAsia="仿宋" w:cs="仿宋"/>
          <w:sz w:val="28"/>
          <w:szCs w:val="28"/>
        </w:rPr>
      </w:pPr>
    </w:p>
    <w:p w14:paraId="367C04FD">
      <w:pPr>
        <w:pStyle w:val="64"/>
        <w:spacing w:line="432" w:lineRule="auto"/>
        <w:rPr>
          <w:rStyle w:val="65"/>
          <w:rFonts w:ascii="仿宋" w:eastAsia="仿宋" w:cs="仿宋"/>
          <w:sz w:val="28"/>
          <w:szCs w:val="28"/>
        </w:rPr>
      </w:pPr>
    </w:p>
    <w:p w14:paraId="0248133E">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r>
        <w:rPr>
          <w:rFonts w:ascii="宋体" w:hAnsi="宋体" w:cs="宋体"/>
          <w:b/>
          <w:spacing w:val="6"/>
          <w:sz w:val="21"/>
          <w:szCs w:val="21"/>
        </w:rPr>
        <w:br w:type="page"/>
      </w:r>
      <w:r>
        <w:rPr>
          <w:rFonts w:hint="eastAsia" w:ascii="宋体" w:hAnsi="宋体" w:eastAsia="宋体" w:cs="宋体"/>
          <w:b/>
          <w:bCs/>
          <w:spacing w:val="6"/>
          <w:sz w:val="21"/>
          <w:szCs w:val="21"/>
        </w:rPr>
        <w:t>附件1：</w:t>
      </w:r>
      <w:r>
        <w:rPr>
          <w:rFonts w:hint="eastAsia" w:ascii="宋体" w:hAnsi="宋体" w:eastAsia="宋体" w:cs="宋体"/>
          <w:b/>
          <w:bCs/>
          <w:sz w:val="21"/>
          <w:szCs w:val="21"/>
        </w:rPr>
        <w:t>残疾人福利性单位声明函</w:t>
      </w:r>
    </w:p>
    <w:p w14:paraId="5DA30494">
      <w:pPr>
        <w:spacing w:line="360" w:lineRule="auto"/>
        <w:jc w:val="center"/>
        <w:rPr>
          <w:rFonts w:hint="eastAsia" w:ascii="宋体" w:hAnsi="宋体" w:eastAsia="宋体" w:cs="宋体"/>
          <w:b/>
          <w:bCs/>
          <w:sz w:val="21"/>
          <w:szCs w:val="21"/>
        </w:rPr>
      </w:pPr>
    </w:p>
    <w:p w14:paraId="2DBDE1DF">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残疾人福利性单位声明函（如为残疾人福利性单位）</w:t>
      </w:r>
    </w:p>
    <w:p w14:paraId="6AB73127">
      <w:pPr>
        <w:spacing w:line="360" w:lineRule="auto"/>
        <w:jc w:val="center"/>
        <w:rPr>
          <w:rFonts w:hint="eastAsia" w:ascii="宋体" w:hAnsi="宋体" w:eastAsia="宋体" w:cs="宋体"/>
          <w:b/>
          <w:spacing w:val="6"/>
          <w:sz w:val="21"/>
          <w:szCs w:val="21"/>
        </w:rPr>
      </w:pPr>
      <w:r>
        <w:rPr>
          <w:rFonts w:hint="eastAsia" w:ascii="宋体" w:hAnsi="宋体" w:eastAsia="宋体" w:cs="宋体"/>
          <w:b/>
          <w:sz w:val="21"/>
          <w:szCs w:val="21"/>
        </w:rPr>
        <w:t>（注：若无，可删除此项）</w:t>
      </w:r>
    </w:p>
    <w:p w14:paraId="48523F6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7A3A20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74D4C6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本单位对上述声明的真实性负责。如有虚假，将承担相应的法律责任。</w:t>
      </w:r>
    </w:p>
    <w:p w14:paraId="1FB8A03C">
      <w:pPr>
        <w:pStyle w:val="7"/>
        <w:spacing w:line="360" w:lineRule="auto"/>
        <w:rPr>
          <w:rFonts w:hint="eastAsia" w:ascii="宋体" w:hAnsi="宋体" w:eastAsia="宋体" w:cs="宋体"/>
          <w:sz w:val="21"/>
          <w:szCs w:val="21"/>
        </w:rPr>
      </w:pPr>
    </w:p>
    <w:p w14:paraId="04836784">
      <w:pPr>
        <w:autoSpaceDE w:val="0"/>
        <w:autoSpaceDN w:val="0"/>
        <w:spacing w:line="360" w:lineRule="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投标人：</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lang w:val="zh-CN"/>
        </w:rPr>
        <w:t>（电子签章）</w:t>
      </w:r>
    </w:p>
    <w:p w14:paraId="6F197DBA">
      <w:pPr>
        <w:pStyle w:val="7"/>
        <w:spacing w:line="360" w:lineRule="auto"/>
        <w:ind w:firstLine="0"/>
        <w:rPr>
          <w:rFonts w:hint="eastAsia" w:ascii="宋体" w:hAnsi="宋体" w:eastAsia="宋体" w:cs="宋体"/>
          <w:sz w:val="21"/>
          <w:szCs w:val="21"/>
        </w:rPr>
      </w:pPr>
      <w:r>
        <w:rPr>
          <w:rFonts w:hint="eastAsia" w:ascii="宋体" w:hAnsi="宋体" w:eastAsia="宋体" w:cs="宋体"/>
          <w:sz w:val="21"/>
          <w:szCs w:val="21"/>
        </w:rPr>
        <w:t>日期：</w:t>
      </w:r>
    </w:p>
    <w:p w14:paraId="44707B60">
      <w:pPr>
        <w:pStyle w:val="7"/>
        <w:spacing w:line="360" w:lineRule="auto"/>
        <w:rPr>
          <w:rFonts w:hint="eastAsia" w:ascii="宋体" w:hAnsi="宋体" w:eastAsia="宋体" w:cs="宋体"/>
          <w:sz w:val="21"/>
          <w:szCs w:val="21"/>
        </w:rPr>
      </w:pPr>
    </w:p>
    <w:p w14:paraId="0BC4AA21">
      <w:pPr>
        <w:spacing w:line="360" w:lineRule="auto"/>
        <w:jc w:val="center"/>
        <w:rPr>
          <w:rFonts w:hint="eastAsia" w:ascii="宋体" w:hAnsi="宋体" w:eastAsia="宋体" w:cs="宋体"/>
          <w:b/>
          <w:bCs/>
          <w:spacing w:val="6"/>
          <w:sz w:val="32"/>
          <w:szCs w:val="32"/>
        </w:rPr>
      </w:pPr>
    </w:p>
    <w:p w14:paraId="08941137">
      <w:pPr>
        <w:rPr>
          <w:rFonts w:hint="eastAsia" w:ascii="宋体" w:hAnsi="宋体" w:eastAsia="宋体" w:cs="宋体"/>
        </w:rPr>
      </w:pPr>
    </w:p>
    <w:p w14:paraId="32F74856">
      <w:pPr>
        <w:rPr>
          <w:rFonts w:hint="eastAsia" w:ascii="宋体" w:hAnsi="宋体" w:eastAsia="宋体" w:cs="宋体"/>
        </w:rPr>
      </w:pPr>
    </w:p>
    <w:p w14:paraId="64D2A2AF">
      <w:pPr>
        <w:rPr>
          <w:rFonts w:hint="eastAsia" w:ascii="宋体" w:hAnsi="宋体" w:eastAsia="宋体" w:cs="宋体"/>
        </w:rPr>
      </w:pPr>
    </w:p>
    <w:p w14:paraId="0507B372">
      <w:pPr>
        <w:rPr>
          <w:rFonts w:hint="eastAsia" w:ascii="宋体" w:hAnsi="宋体" w:eastAsia="宋体" w:cs="宋体"/>
        </w:rPr>
      </w:pPr>
    </w:p>
    <w:p w14:paraId="4608D55F">
      <w:pPr>
        <w:rPr>
          <w:rFonts w:hint="eastAsia" w:ascii="宋体" w:hAnsi="宋体" w:eastAsia="宋体" w:cs="宋体"/>
        </w:rPr>
      </w:pPr>
    </w:p>
    <w:p w14:paraId="528FD501">
      <w:pPr>
        <w:rPr>
          <w:rFonts w:hint="eastAsia" w:ascii="宋体" w:hAnsi="宋体" w:eastAsia="宋体" w:cs="宋体"/>
        </w:rPr>
      </w:pPr>
    </w:p>
    <w:p w14:paraId="0FC47EBA">
      <w:pPr>
        <w:rPr>
          <w:rFonts w:hint="eastAsia" w:ascii="宋体" w:hAnsi="宋体" w:eastAsia="宋体" w:cs="宋体"/>
        </w:rPr>
      </w:pPr>
    </w:p>
    <w:p w14:paraId="5F788834">
      <w:pPr>
        <w:rPr>
          <w:rFonts w:hint="eastAsia" w:ascii="宋体" w:hAnsi="宋体" w:eastAsia="宋体" w:cs="宋体"/>
        </w:rPr>
      </w:pPr>
    </w:p>
    <w:p w14:paraId="09EB1175">
      <w:pPr>
        <w:rPr>
          <w:rFonts w:hint="eastAsia" w:ascii="宋体" w:hAnsi="宋体" w:eastAsia="宋体" w:cs="宋体"/>
        </w:rPr>
      </w:pPr>
    </w:p>
    <w:p w14:paraId="20961382">
      <w:pPr>
        <w:rPr>
          <w:rFonts w:hint="eastAsia" w:ascii="宋体" w:hAnsi="宋体" w:eastAsia="宋体" w:cs="宋体"/>
        </w:rPr>
      </w:pPr>
    </w:p>
    <w:p w14:paraId="5D1D170E">
      <w:pPr>
        <w:rPr>
          <w:rFonts w:hint="eastAsia" w:ascii="宋体" w:hAnsi="宋体" w:eastAsia="宋体" w:cs="宋体"/>
        </w:rPr>
      </w:pPr>
    </w:p>
    <w:p w14:paraId="21DEEF38">
      <w:pPr>
        <w:rPr>
          <w:rFonts w:hint="eastAsia" w:ascii="宋体" w:hAnsi="宋体" w:eastAsia="宋体" w:cs="宋体"/>
        </w:rPr>
      </w:pPr>
    </w:p>
    <w:p w14:paraId="0C6C8700">
      <w:pPr>
        <w:rPr>
          <w:rFonts w:hint="eastAsia" w:ascii="宋体" w:hAnsi="宋体" w:eastAsia="宋体" w:cs="宋体"/>
        </w:rPr>
      </w:pPr>
    </w:p>
    <w:p w14:paraId="08BEA0B2">
      <w:pPr>
        <w:rPr>
          <w:rFonts w:hint="eastAsia" w:ascii="宋体" w:hAnsi="宋体" w:eastAsia="宋体" w:cs="宋体"/>
        </w:rPr>
      </w:pPr>
    </w:p>
    <w:p w14:paraId="34D29C0A">
      <w:pPr>
        <w:rPr>
          <w:rFonts w:hint="eastAsia" w:ascii="宋体" w:hAnsi="宋体" w:eastAsia="宋体" w:cs="宋体"/>
        </w:rPr>
      </w:pPr>
    </w:p>
    <w:p w14:paraId="528E4423">
      <w:pPr>
        <w:rPr>
          <w:rFonts w:hint="eastAsia" w:ascii="宋体" w:hAnsi="宋体" w:eastAsia="宋体" w:cs="宋体"/>
        </w:rPr>
      </w:pPr>
    </w:p>
    <w:p w14:paraId="7DF1BC28">
      <w:pPr>
        <w:rPr>
          <w:rFonts w:hint="eastAsia" w:ascii="宋体" w:hAnsi="宋体" w:eastAsia="宋体" w:cs="宋体"/>
        </w:rPr>
      </w:pPr>
    </w:p>
    <w:p w14:paraId="19772D2A">
      <w:pPr>
        <w:pStyle w:val="60"/>
        <w:ind w:firstLine="0" w:firstLineChars="0"/>
        <w:rPr>
          <w:rFonts w:hint="eastAsia" w:ascii="宋体" w:hAnsi="宋体" w:eastAsia="宋体" w:cs="宋体"/>
        </w:rPr>
      </w:pPr>
      <w:bookmarkStart w:id="1133" w:name="_Toc12504"/>
      <w:bookmarkStart w:id="1134" w:name="_Toc3047"/>
      <w:bookmarkStart w:id="1135" w:name="_Toc26011_WPSOffice_Level2"/>
      <w:bookmarkStart w:id="1136" w:name="_Toc17815"/>
      <w:bookmarkStart w:id="1137" w:name="_Toc30073_WPSOffice_Level2"/>
      <w:bookmarkStart w:id="1138" w:name="_Toc12758_WPSOffice_Level2"/>
    </w:p>
    <w:bookmarkEnd w:id="1133"/>
    <w:bookmarkEnd w:id="1134"/>
    <w:bookmarkEnd w:id="1135"/>
    <w:bookmarkEnd w:id="1136"/>
    <w:bookmarkEnd w:id="1137"/>
    <w:bookmarkEnd w:id="1138"/>
    <w:p w14:paraId="00CD7C83">
      <w:pPr>
        <w:widowControl/>
        <w:jc w:val="left"/>
        <w:rPr>
          <w:rFonts w:hint="eastAsia" w:ascii="宋体" w:hAnsi="宋体" w:eastAsia="宋体" w:cs="宋体"/>
        </w:rPr>
      </w:pPr>
      <w:r>
        <w:rPr>
          <w:rFonts w:hint="eastAsia" w:ascii="宋体" w:hAnsi="宋体" w:eastAsia="宋体" w:cs="宋体"/>
        </w:rPr>
        <w:br w:type="page"/>
      </w:r>
    </w:p>
    <w:p w14:paraId="1A2A7AAE">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r>
        <w:rPr>
          <w:rFonts w:hint="eastAsia" w:ascii="宋体" w:hAnsi="宋体" w:eastAsia="宋体" w:cs="宋体"/>
          <w:b/>
          <w:bCs/>
          <w:spacing w:val="6"/>
          <w:sz w:val="21"/>
          <w:szCs w:val="21"/>
        </w:rPr>
        <w:t>附件2：中小企业声明函</w:t>
      </w:r>
    </w:p>
    <w:p w14:paraId="20A36580">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中小企业声明函（货物）</w:t>
      </w:r>
    </w:p>
    <w:p w14:paraId="4318CB1A">
      <w:pPr>
        <w:widowControl/>
        <w:adjustRightInd w:val="0"/>
        <w:snapToGrid w:val="0"/>
        <w:spacing w:before="120" w:beforeLines="50" w:line="360" w:lineRule="auto"/>
        <w:jc w:val="center"/>
        <w:rPr>
          <w:rFonts w:hint="eastAsia" w:ascii="宋体" w:hAnsi="宋体" w:eastAsia="宋体" w:cs="宋体"/>
        </w:rPr>
      </w:pPr>
      <w:r>
        <w:rPr>
          <w:rFonts w:hint="eastAsia" w:ascii="宋体" w:hAnsi="宋体" w:eastAsia="宋体" w:cs="宋体"/>
          <w:b/>
          <w:szCs w:val="21"/>
        </w:rPr>
        <w:t>（注：若无，可删除此项）</w:t>
      </w:r>
    </w:p>
    <w:p w14:paraId="7FF7CA31">
      <w:pPr>
        <w:pStyle w:val="28"/>
        <w:rPr>
          <w:rFonts w:hint="eastAsia" w:ascii="宋体" w:hAnsi="宋体" w:eastAsia="宋体" w:cs="宋体"/>
        </w:rPr>
      </w:pPr>
    </w:p>
    <w:p w14:paraId="1247479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采购活动，提供的货物全部由符合政策要求的中小企业制造。相关企业（含联合体中的中小企业、签订分包意向协议的中小企业）的具体情况如下：</w:t>
      </w:r>
    </w:p>
    <w:p w14:paraId="01FFC0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（所属行业）</w:t>
      </w:r>
      <w:r>
        <w:rPr>
          <w:rFonts w:hint="eastAsia" w:ascii="宋体" w:hAnsi="宋体" w:eastAsia="宋体" w:cs="宋体"/>
          <w:sz w:val="21"/>
          <w:szCs w:val="21"/>
        </w:rPr>
        <w:t>行业 ；制造商为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 xml:space="preserve"> ；</w:t>
      </w:r>
    </w:p>
    <w:p w14:paraId="64EBCE5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（所属行业）</w:t>
      </w:r>
      <w:r>
        <w:rPr>
          <w:rFonts w:hint="eastAsia" w:ascii="宋体" w:hAnsi="宋体" w:eastAsia="宋体" w:cs="宋体"/>
          <w:sz w:val="21"/>
          <w:szCs w:val="21"/>
        </w:rPr>
        <w:t>行业 ；制造商为</w:t>
      </w:r>
      <w:r>
        <w:rPr>
          <w:rFonts w:hint="eastAsia" w:ascii="宋体" w:hAnsi="宋体" w:eastAsia="宋体" w:cs="宋体"/>
          <w:sz w:val="21"/>
          <w:szCs w:val="21"/>
          <w:u w:val="single"/>
        </w:rPr>
        <w:t xml:space="preserve"> （企业名称）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（中型企业、小型企业、微型企业） </w:t>
      </w:r>
      <w:r>
        <w:rPr>
          <w:rFonts w:hint="eastAsia" w:ascii="宋体" w:hAnsi="宋体" w:eastAsia="宋体" w:cs="宋体"/>
          <w:sz w:val="21"/>
          <w:szCs w:val="21"/>
        </w:rPr>
        <w:t>；</w:t>
      </w:r>
    </w:p>
    <w:p w14:paraId="11208EB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69A568F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A7B93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4CDE7766">
      <w:pPr>
        <w:spacing w:line="360" w:lineRule="auto"/>
        <w:ind w:firstLine="420" w:firstLineChars="200"/>
        <w:rPr>
          <w:rFonts w:hint="eastAsia" w:ascii="宋体" w:hAnsi="宋体" w:eastAsia="宋体" w:cs="宋体"/>
          <w:sz w:val="21"/>
          <w:szCs w:val="21"/>
        </w:rPr>
      </w:pPr>
    </w:p>
    <w:p w14:paraId="10A0F4F5">
      <w:pPr>
        <w:pStyle w:val="91"/>
        <w:spacing w:line="360" w:lineRule="auto"/>
        <w:ind w:firstLine="210"/>
        <w:rPr>
          <w:rFonts w:hint="eastAsia" w:ascii="宋体" w:hAnsi="宋体" w:eastAsia="宋体" w:cs="宋体"/>
          <w:szCs w:val="21"/>
        </w:rPr>
      </w:pPr>
    </w:p>
    <w:p w14:paraId="587F040C">
      <w:pPr>
        <w:pStyle w:val="91"/>
        <w:spacing w:line="360" w:lineRule="auto"/>
        <w:ind w:firstLine="210"/>
        <w:rPr>
          <w:rFonts w:hint="eastAsia" w:ascii="宋体" w:hAnsi="宋体" w:eastAsia="宋体" w:cs="宋体"/>
          <w:szCs w:val="21"/>
        </w:rPr>
      </w:pPr>
    </w:p>
    <w:p w14:paraId="15A414D0">
      <w:pPr>
        <w:pStyle w:val="91"/>
        <w:spacing w:line="360" w:lineRule="auto"/>
        <w:ind w:firstLine="210"/>
        <w:rPr>
          <w:rFonts w:hint="eastAsia" w:ascii="宋体" w:hAnsi="宋体" w:eastAsia="宋体" w:cs="宋体"/>
          <w:szCs w:val="21"/>
        </w:rPr>
      </w:pPr>
    </w:p>
    <w:p w14:paraId="19FB3C03">
      <w:pPr>
        <w:spacing w:line="360" w:lineRule="auto"/>
        <w:ind w:right="1120" w:firstLine="4410" w:firstLineChars="2100"/>
        <w:rPr>
          <w:rFonts w:hint="eastAsia" w:ascii="宋体" w:hAnsi="宋体" w:eastAsia="宋体" w:cs="宋体"/>
          <w:sz w:val="21"/>
          <w:szCs w:val="21"/>
        </w:rPr>
      </w:pPr>
      <w:r>
        <w:rPr>
          <w:rFonts w:hint="eastAsia" w:ascii="宋体" w:hAnsi="宋体" w:eastAsia="宋体" w:cs="宋体"/>
          <w:sz w:val="21"/>
          <w:szCs w:val="21"/>
        </w:rPr>
        <w:t>企业名称（</w:t>
      </w:r>
      <w:r>
        <w:rPr>
          <w:rFonts w:hint="eastAsia" w:ascii="宋体" w:hAnsi="宋体" w:eastAsia="宋体" w:cs="宋体"/>
          <w:kern w:val="0"/>
          <w:sz w:val="21"/>
          <w:szCs w:val="21"/>
          <w:lang w:val="zh-CN"/>
        </w:rPr>
        <w:t>电子签章</w:t>
      </w:r>
      <w:r>
        <w:rPr>
          <w:rFonts w:hint="eastAsia" w:ascii="宋体" w:hAnsi="宋体" w:eastAsia="宋体" w:cs="宋体"/>
          <w:sz w:val="21"/>
          <w:szCs w:val="21"/>
        </w:rPr>
        <w:t>）：</w:t>
      </w:r>
    </w:p>
    <w:p w14:paraId="1B339144">
      <w:pPr>
        <w:spacing w:line="360" w:lineRule="auto"/>
        <w:ind w:right="1120" w:firstLine="4410" w:firstLineChars="2100"/>
        <w:rPr>
          <w:rFonts w:hint="eastAsia" w:ascii="宋体" w:hAnsi="宋体" w:eastAsia="宋体" w:cs="宋体"/>
          <w:sz w:val="21"/>
          <w:szCs w:val="21"/>
        </w:rPr>
      </w:pPr>
      <w:r>
        <w:rPr>
          <w:rFonts w:hint="eastAsia" w:ascii="宋体" w:hAnsi="宋体" w:eastAsia="宋体" w:cs="宋体"/>
          <w:sz w:val="21"/>
          <w:szCs w:val="21"/>
        </w:rPr>
        <w:t>日          期：</w:t>
      </w:r>
    </w:p>
    <w:p w14:paraId="2FC4EC4D">
      <w:pPr>
        <w:pStyle w:val="64"/>
        <w:spacing w:line="432" w:lineRule="auto"/>
        <w:rPr>
          <w:rStyle w:val="65"/>
          <w:rFonts w:hint="eastAsia" w:ascii="宋体" w:hAnsi="宋体" w:eastAsia="宋体" w:cs="宋体"/>
          <w:b w:val="0"/>
          <w:bCs w:val="0"/>
          <w:sz w:val="28"/>
          <w:szCs w:val="28"/>
        </w:rPr>
      </w:pPr>
    </w:p>
    <w:p w14:paraId="2E02DF35">
      <w:pPr>
        <w:pStyle w:val="64"/>
        <w:spacing w:line="432" w:lineRule="auto"/>
        <w:rPr>
          <w:rStyle w:val="65"/>
          <w:rFonts w:hint="eastAsia" w:ascii="宋体" w:hAnsi="宋体" w:eastAsia="宋体" w:cs="宋体"/>
          <w:b w:val="0"/>
          <w:bCs w:val="0"/>
          <w:sz w:val="28"/>
          <w:szCs w:val="28"/>
        </w:rPr>
      </w:pPr>
    </w:p>
    <w:p w14:paraId="130F9593">
      <w:pPr>
        <w:pStyle w:val="64"/>
        <w:spacing w:line="432" w:lineRule="auto"/>
        <w:rPr>
          <w:rStyle w:val="65"/>
          <w:rFonts w:hint="eastAsia" w:ascii="宋体" w:hAnsi="宋体" w:eastAsia="宋体" w:cs="宋体"/>
          <w:b w:val="0"/>
          <w:bCs w:val="0"/>
          <w:sz w:val="28"/>
          <w:szCs w:val="28"/>
        </w:rPr>
      </w:pPr>
    </w:p>
    <w:p w14:paraId="0A847012">
      <w:pPr>
        <w:pStyle w:val="64"/>
        <w:spacing w:line="432" w:lineRule="auto"/>
        <w:rPr>
          <w:rStyle w:val="65"/>
          <w:rFonts w:hint="eastAsia" w:ascii="宋体" w:hAnsi="宋体" w:eastAsia="宋体" w:cs="宋体"/>
          <w:b w:val="0"/>
          <w:bCs w:val="0"/>
          <w:sz w:val="28"/>
          <w:szCs w:val="28"/>
        </w:rPr>
      </w:pPr>
    </w:p>
    <w:p w14:paraId="59C10669">
      <w:pPr>
        <w:pStyle w:val="64"/>
        <w:spacing w:line="432" w:lineRule="auto"/>
        <w:rPr>
          <w:rStyle w:val="65"/>
          <w:rFonts w:hint="eastAsia" w:ascii="宋体" w:hAnsi="宋体" w:eastAsia="宋体" w:cs="宋体"/>
          <w:b w:val="0"/>
          <w:bCs w:val="0"/>
          <w:sz w:val="28"/>
          <w:szCs w:val="28"/>
        </w:rPr>
      </w:pPr>
    </w:p>
    <w:p w14:paraId="4F959ECF">
      <w:pPr>
        <w:pStyle w:val="64"/>
        <w:spacing w:line="432" w:lineRule="auto"/>
        <w:rPr>
          <w:rStyle w:val="65"/>
          <w:rFonts w:hint="eastAsia" w:ascii="宋体" w:hAnsi="宋体" w:eastAsia="宋体" w:cs="宋体"/>
          <w:b w:val="0"/>
          <w:bCs w:val="0"/>
          <w:sz w:val="28"/>
          <w:szCs w:val="28"/>
        </w:rPr>
      </w:pPr>
    </w:p>
    <w:p w14:paraId="08E1897D">
      <w:pPr>
        <w:pStyle w:val="64"/>
        <w:spacing w:line="432" w:lineRule="auto"/>
        <w:rPr>
          <w:rStyle w:val="65"/>
          <w:rFonts w:hint="eastAsia" w:ascii="宋体" w:hAnsi="宋体" w:eastAsia="宋体" w:cs="宋体"/>
          <w:b w:val="0"/>
          <w:bCs w:val="0"/>
          <w:sz w:val="28"/>
          <w:szCs w:val="28"/>
        </w:rPr>
      </w:pPr>
    </w:p>
    <w:p w14:paraId="350DD685">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lang w:eastAsia="zh-CN"/>
        </w:rPr>
      </w:pPr>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3：</w:t>
      </w:r>
      <w:r>
        <w:rPr>
          <w:rFonts w:hint="eastAsia" w:ascii="宋体" w:hAnsi="宋体" w:eastAsia="宋体" w:cs="宋体"/>
          <w:b/>
          <w:bCs/>
          <w:spacing w:val="6"/>
          <w:sz w:val="21"/>
          <w:szCs w:val="21"/>
        </w:rPr>
        <w:t>关于符合本国产品标准的声明函</w:t>
      </w:r>
    </w:p>
    <w:p w14:paraId="428F8C3D">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rPr>
          <w:rFonts w:hint="eastAsia" w:ascii="宋体" w:hAnsi="宋体" w:eastAsia="宋体" w:cs="宋体"/>
          <w:i w:val="0"/>
          <w:iCs w:val="0"/>
          <w:caps w:val="0"/>
          <w:color w:val="auto"/>
          <w:spacing w:val="0"/>
          <w:sz w:val="21"/>
          <w:szCs w:val="21"/>
        </w:rPr>
      </w:pPr>
      <w:r>
        <w:rPr>
          <w:rStyle w:val="33"/>
          <w:rFonts w:hint="eastAsia" w:ascii="宋体" w:hAnsi="宋体" w:eastAsia="宋体" w:cs="宋体"/>
          <w:i w:val="0"/>
          <w:iCs w:val="0"/>
          <w:caps w:val="0"/>
          <w:color w:val="auto"/>
          <w:spacing w:val="0"/>
          <w:sz w:val="21"/>
          <w:szCs w:val="21"/>
          <w:shd w:val="clear" w:fill="FFFFFF"/>
          <w:vertAlign w:val="baseline"/>
        </w:rPr>
        <w:t>关于符合本国产品标准的声明函</w:t>
      </w:r>
    </w:p>
    <w:p w14:paraId="5779C1FC">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 </w:t>
      </w:r>
    </w:p>
    <w:p w14:paraId="34E0EAB8">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本公司（单位）郑重声明，根据《国务院办公厅关于在政府采购中实施本国产品标准及相关政策的通知》（国办发〔2025〕34号）的规定，本公司</w:t>
      </w:r>
      <w:r>
        <w:rPr>
          <w:rFonts w:hint="eastAsia" w:ascii="宋体" w:hAnsi="宋体" w:eastAsia="宋体" w:cs="宋体"/>
          <w:i w:val="0"/>
          <w:iCs w:val="0"/>
          <w:caps w:val="0"/>
          <w:color w:val="auto"/>
          <w:spacing w:val="0"/>
          <w:sz w:val="21"/>
          <w:szCs w:val="21"/>
          <w:u w:val="single"/>
          <w:shd w:val="clear" w:fill="FFFFFF"/>
          <w:vertAlign w:val="baseline"/>
        </w:rPr>
        <w:t>（单位）</w:t>
      </w:r>
      <w:r>
        <w:rPr>
          <w:rFonts w:hint="eastAsia" w:ascii="宋体" w:hAnsi="宋体" w:eastAsia="宋体" w:cs="宋体"/>
          <w:i w:val="0"/>
          <w:iCs w:val="0"/>
          <w:caps w:val="0"/>
          <w:color w:val="auto"/>
          <w:spacing w:val="0"/>
          <w:sz w:val="21"/>
          <w:szCs w:val="21"/>
          <w:shd w:val="clear" w:fill="FFFFFF"/>
          <w:vertAlign w:val="baseline"/>
        </w:rPr>
        <w:t>提供的以下产品属于本国产品。具体情况如下：</w:t>
      </w:r>
    </w:p>
    <w:p w14:paraId="0942D233">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1.</w:t>
      </w:r>
      <w:r>
        <w:rPr>
          <w:rStyle w:val="36"/>
          <w:rFonts w:hint="eastAsia" w:ascii="宋体" w:hAnsi="宋体" w:eastAsia="宋体" w:cs="宋体"/>
          <w:i w:val="0"/>
          <w:iCs w:val="0"/>
          <w:caps w:val="0"/>
          <w:color w:val="auto"/>
          <w:spacing w:val="0"/>
          <w:sz w:val="21"/>
          <w:szCs w:val="21"/>
          <w:u w:val="single"/>
          <w:shd w:val="clear" w:fill="FFFFFF"/>
          <w:vertAlign w:val="baseline"/>
        </w:rPr>
        <w:t>（产品名称1）</w:t>
      </w:r>
      <w:r>
        <w:rPr>
          <w:rStyle w:val="36"/>
          <w:rFonts w:hint="eastAsia" w:ascii="宋体" w:hAnsi="宋体" w:eastAsia="宋体" w:cs="宋体"/>
          <w:i w:val="0"/>
          <w:iCs w:val="0"/>
          <w:caps w:val="0"/>
          <w:color w:val="auto"/>
          <w:spacing w:val="0"/>
          <w:sz w:val="21"/>
          <w:szCs w:val="21"/>
          <w:shd w:val="clear" w:fill="FFFFFF"/>
          <w:vertAlign w:val="baseline"/>
        </w:rPr>
        <w:t>1</w:t>
      </w:r>
      <w:r>
        <w:rPr>
          <w:rFonts w:hint="eastAsia" w:ascii="宋体" w:hAnsi="宋体" w:eastAsia="宋体" w:cs="宋体"/>
          <w:i w:val="0"/>
          <w:iCs w:val="0"/>
          <w:caps w:val="0"/>
          <w:color w:val="auto"/>
          <w:spacing w:val="0"/>
          <w:sz w:val="21"/>
          <w:szCs w:val="21"/>
          <w:shd w:val="clear" w:fill="FFFFFF"/>
          <w:vertAlign w:val="baseline"/>
        </w:rPr>
        <w:t>，生产厂为</w:t>
      </w:r>
      <w:r>
        <w:rPr>
          <w:rStyle w:val="36"/>
          <w:rFonts w:hint="eastAsia" w:ascii="宋体" w:hAnsi="宋体" w:eastAsia="宋体" w:cs="宋体"/>
          <w:i w:val="0"/>
          <w:iCs w:val="0"/>
          <w:caps w:val="0"/>
          <w:color w:val="auto"/>
          <w:spacing w:val="0"/>
          <w:sz w:val="21"/>
          <w:szCs w:val="21"/>
          <w:u w:val="single"/>
          <w:shd w:val="clear" w:fill="FFFFFF"/>
          <w:vertAlign w:val="baseline"/>
        </w:rPr>
        <w:t>（厂名）</w:t>
      </w:r>
      <w:r>
        <w:rPr>
          <w:rStyle w:val="36"/>
          <w:rFonts w:hint="eastAsia" w:ascii="宋体" w:hAnsi="宋体" w:eastAsia="宋体" w:cs="宋体"/>
          <w:i w:val="0"/>
          <w:iCs w:val="0"/>
          <w:caps w:val="0"/>
          <w:color w:val="auto"/>
          <w:spacing w:val="0"/>
          <w:sz w:val="21"/>
          <w:szCs w:val="21"/>
          <w:shd w:val="clear" w:fill="FFFFFF"/>
          <w:vertAlign w:val="baseline"/>
        </w:rPr>
        <w:t>2</w:t>
      </w:r>
      <w:r>
        <w:rPr>
          <w:rFonts w:hint="eastAsia" w:ascii="宋体" w:hAnsi="宋体" w:eastAsia="宋体" w:cs="宋体"/>
          <w:i w:val="0"/>
          <w:iCs w:val="0"/>
          <w:caps w:val="0"/>
          <w:color w:val="auto"/>
          <w:spacing w:val="0"/>
          <w:sz w:val="21"/>
          <w:szCs w:val="21"/>
          <w:shd w:val="clear" w:fill="FFFFFF"/>
          <w:vertAlign w:val="baseline"/>
        </w:rPr>
        <w:t>，厂址为</w:t>
      </w:r>
      <w:r>
        <w:rPr>
          <w:rStyle w:val="36"/>
          <w:rFonts w:hint="eastAsia" w:ascii="宋体" w:hAnsi="宋体" w:eastAsia="宋体" w:cs="宋体"/>
          <w:i w:val="0"/>
          <w:iCs w:val="0"/>
          <w:caps w:val="0"/>
          <w:color w:val="auto"/>
          <w:spacing w:val="0"/>
          <w:sz w:val="21"/>
          <w:szCs w:val="21"/>
          <w:u w:val="single"/>
          <w:shd w:val="clear" w:fill="FFFFFF"/>
          <w:vertAlign w:val="baseline"/>
        </w:rPr>
        <w:t>（生产厂址）</w:t>
      </w:r>
      <w:r>
        <w:rPr>
          <w:rFonts w:hint="eastAsia" w:ascii="宋体" w:hAnsi="宋体" w:eastAsia="宋体" w:cs="宋体"/>
          <w:i w:val="0"/>
          <w:iCs w:val="0"/>
          <w:caps w:val="0"/>
          <w:color w:val="auto"/>
          <w:spacing w:val="0"/>
          <w:sz w:val="21"/>
          <w:szCs w:val="21"/>
          <w:shd w:val="clear" w:fill="FFFFFF"/>
          <w:vertAlign w:val="baseline"/>
        </w:rPr>
        <w:t>。</w:t>
      </w:r>
      <w:r>
        <w:rPr>
          <w:rStyle w:val="36"/>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的中国境内生产的组件成本占比≥</w:t>
      </w:r>
      <w:r>
        <w:rPr>
          <w:rStyle w:val="36"/>
          <w:rFonts w:hint="eastAsia" w:ascii="宋体" w:hAnsi="宋体" w:eastAsia="宋体" w:cs="宋体"/>
          <w:i w:val="0"/>
          <w:iCs w:val="0"/>
          <w:caps w:val="0"/>
          <w:color w:val="auto"/>
          <w:spacing w:val="0"/>
          <w:sz w:val="21"/>
          <w:szCs w:val="21"/>
          <w:u w:val="single"/>
          <w:shd w:val="clear" w:fill="FFFFFF"/>
          <w:vertAlign w:val="baseline"/>
        </w:rPr>
        <w:t>（规定比例）</w:t>
      </w:r>
      <w:r>
        <w:rPr>
          <w:rStyle w:val="36"/>
          <w:rFonts w:hint="eastAsia" w:ascii="宋体" w:hAnsi="宋体" w:eastAsia="宋体" w:cs="宋体"/>
          <w:i w:val="0"/>
          <w:iCs w:val="0"/>
          <w:caps w:val="0"/>
          <w:color w:val="auto"/>
          <w:spacing w:val="0"/>
          <w:sz w:val="21"/>
          <w:szCs w:val="21"/>
          <w:shd w:val="clear" w:fill="FFFFFF"/>
          <w:vertAlign w:val="baseline"/>
        </w:rPr>
        <w:t>3</w:t>
      </w:r>
      <w:r>
        <w:rPr>
          <w:rFonts w:hint="eastAsia" w:ascii="宋体" w:hAnsi="宋体" w:eastAsia="宋体" w:cs="宋体"/>
          <w:i w:val="0"/>
          <w:iCs w:val="0"/>
          <w:caps w:val="0"/>
          <w:color w:val="auto"/>
          <w:spacing w:val="0"/>
          <w:sz w:val="21"/>
          <w:szCs w:val="21"/>
          <w:shd w:val="clear" w:fill="FFFFFF"/>
          <w:vertAlign w:val="baseline"/>
        </w:rPr>
        <w:t>。</w:t>
      </w:r>
      <w:r>
        <w:rPr>
          <w:rStyle w:val="36"/>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w:t>
      </w:r>
      <w:r>
        <w:rPr>
          <w:rStyle w:val="36"/>
          <w:rFonts w:hint="eastAsia" w:ascii="宋体" w:hAnsi="宋体" w:eastAsia="宋体" w:cs="宋体"/>
          <w:i w:val="0"/>
          <w:iCs w:val="0"/>
          <w:caps w:val="0"/>
          <w:color w:val="auto"/>
          <w:spacing w:val="0"/>
          <w:sz w:val="21"/>
          <w:szCs w:val="21"/>
          <w:u w:val="single"/>
          <w:shd w:val="clear" w:fill="FFFFFF"/>
          <w:vertAlign w:val="baseline"/>
        </w:rPr>
        <w:t>（关键组件）</w:t>
      </w:r>
      <w:r>
        <w:rPr>
          <w:rStyle w:val="36"/>
          <w:rFonts w:hint="eastAsia" w:ascii="宋体" w:hAnsi="宋体" w:eastAsia="宋体" w:cs="宋体"/>
          <w:i w:val="0"/>
          <w:iCs w:val="0"/>
          <w:caps w:val="0"/>
          <w:color w:val="auto"/>
          <w:spacing w:val="0"/>
          <w:sz w:val="21"/>
          <w:szCs w:val="21"/>
          <w:shd w:val="clear" w:fill="FFFFFF"/>
          <w:vertAlign w:val="baseline"/>
        </w:rPr>
        <w:t>4</w:t>
      </w:r>
      <w:r>
        <w:rPr>
          <w:rFonts w:hint="eastAsia" w:ascii="宋体" w:hAnsi="宋体" w:eastAsia="宋体" w:cs="宋体"/>
          <w:i w:val="0"/>
          <w:iCs w:val="0"/>
          <w:caps w:val="0"/>
          <w:color w:val="auto"/>
          <w:spacing w:val="0"/>
          <w:sz w:val="21"/>
          <w:szCs w:val="21"/>
          <w:shd w:val="clear" w:fill="FFFFFF"/>
          <w:vertAlign w:val="baseline"/>
        </w:rPr>
        <w:t>在中国境内生产。</w:t>
      </w:r>
      <w:r>
        <w:rPr>
          <w:rStyle w:val="36"/>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w:t>
      </w:r>
      <w:r>
        <w:rPr>
          <w:rStyle w:val="36"/>
          <w:rFonts w:hint="eastAsia" w:ascii="宋体" w:hAnsi="宋体" w:eastAsia="宋体" w:cs="宋体"/>
          <w:i w:val="0"/>
          <w:iCs w:val="0"/>
          <w:caps w:val="0"/>
          <w:color w:val="auto"/>
          <w:spacing w:val="0"/>
          <w:sz w:val="21"/>
          <w:szCs w:val="21"/>
          <w:u w:val="single"/>
          <w:shd w:val="clear" w:fill="FFFFFF"/>
          <w:vertAlign w:val="baseline"/>
        </w:rPr>
        <w:t>（关键工序）</w:t>
      </w:r>
      <w:r>
        <w:rPr>
          <w:rStyle w:val="36"/>
          <w:rFonts w:hint="eastAsia" w:ascii="宋体" w:hAnsi="宋体" w:eastAsia="宋体" w:cs="宋体"/>
          <w:i w:val="0"/>
          <w:iCs w:val="0"/>
          <w:caps w:val="0"/>
          <w:color w:val="auto"/>
          <w:spacing w:val="0"/>
          <w:sz w:val="21"/>
          <w:szCs w:val="21"/>
          <w:shd w:val="clear" w:fill="FFFFFF"/>
          <w:vertAlign w:val="baseline"/>
        </w:rPr>
        <w:t>5</w:t>
      </w:r>
      <w:r>
        <w:rPr>
          <w:rFonts w:hint="eastAsia" w:ascii="宋体" w:hAnsi="宋体" w:eastAsia="宋体" w:cs="宋体"/>
          <w:i w:val="0"/>
          <w:iCs w:val="0"/>
          <w:caps w:val="0"/>
          <w:color w:val="auto"/>
          <w:spacing w:val="0"/>
          <w:sz w:val="21"/>
          <w:szCs w:val="21"/>
          <w:shd w:val="clear" w:fill="FFFFFF"/>
          <w:vertAlign w:val="baseline"/>
        </w:rPr>
        <w:t>在中国境内完成。</w:t>
      </w:r>
    </w:p>
    <w:p w14:paraId="3CE65A00">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2.</w:t>
      </w:r>
      <w:r>
        <w:rPr>
          <w:rStyle w:val="36"/>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，生产厂为</w:t>
      </w:r>
      <w:r>
        <w:rPr>
          <w:rStyle w:val="36"/>
          <w:rFonts w:hint="eastAsia" w:ascii="宋体" w:hAnsi="宋体" w:eastAsia="宋体" w:cs="宋体"/>
          <w:i w:val="0"/>
          <w:iCs w:val="0"/>
          <w:caps w:val="0"/>
          <w:color w:val="auto"/>
          <w:spacing w:val="0"/>
          <w:sz w:val="21"/>
          <w:szCs w:val="21"/>
          <w:u w:val="single"/>
          <w:shd w:val="clear" w:fill="FFFFFF"/>
          <w:vertAlign w:val="baseline"/>
        </w:rPr>
        <w:t>（厂名）</w:t>
      </w:r>
      <w:r>
        <w:rPr>
          <w:rFonts w:hint="eastAsia" w:ascii="宋体" w:hAnsi="宋体" w:eastAsia="宋体" w:cs="宋体"/>
          <w:i w:val="0"/>
          <w:iCs w:val="0"/>
          <w:caps w:val="0"/>
          <w:color w:val="auto"/>
          <w:spacing w:val="0"/>
          <w:sz w:val="21"/>
          <w:szCs w:val="21"/>
          <w:shd w:val="clear" w:fill="FFFFFF"/>
          <w:vertAlign w:val="baseline"/>
        </w:rPr>
        <w:t>，厂址为</w:t>
      </w:r>
      <w:r>
        <w:rPr>
          <w:rStyle w:val="36"/>
          <w:rFonts w:hint="eastAsia" w:ascii="宋体" w:hAnsi="宋体" w:eastAsia="宋体" w:cs="宋体"/>
          <w:i w:val="0"/>
          <w:iCs w:val="0"/>
          <w:caps w:val="0"/>
          <w:color w:val="auto"/>
          <w:spacing w:val="0"/>
          <w:sz w:val="21"/>
          <w:szCs w:val="21"/>
          <w:u w:val="single"/>
          <w:shd w:val="clear" w:fill="FFFFFF"/>
          <w:vertAlign w:val="baseline"/>
        </w:rPr>
        <w:t>（生产厂址）</w:t>
      </w:r>
      <w:r>
        <w:rPr>
          <w:rFonts w:hint="eastAsia" w:ascii="宋体" w:hAnsi="宋体" w:eastAsia="宋体" w:cs="宋体"/>
          <w:i w:val="0"/>
          <w:iCs w:val="0"/>
          <w:caps w:val="0"/>
          <w:color w:val="auto"/>
          <w:spacing w:val="0"/>
          <w:sz w:val="21"/>
          <w:szCs w:val="21"/>
          <w:shd w:val="clear" w:fill="FFFFFF"/>
          <w:vertAlign w:val="baseline"/>
        </w:rPr>
        <w:t>。</w:t>
      </w:r>
      <w:r>
        <w:rPr>
          <w:rStyle w:val="36"/>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的中国境内生产的组件成本占比≥</w:t>
      </w:r>
      <w:r>
        <w:rPr>
          <w:rStyle w:val="36"/>
          <w:rFonts w:hint="eastAsia" w:ascii="宋体" w:hAnsi="宋体" w:eastAsia="宋体" w:cs="宋体"/>
          <w:i w:val="0"/>
          <w:iCs w:val="0"/>
          <w:caps w:val="0"/>
          <w:color w:val="auto"/>
          <w:spacing w:val="0"/>
          <w:sz w:val="21"/>
          <w:szCs w:val="21"/>
          <w:u w:val="single"/>
          <w:shd w:val="clear" w:fill="FFFFFF"/>
          <w:vertAlign w:val="baseline"/>
        </w:rPr>
        <w:t>（规定比例）</w:t>
      </w:r>
      <w:r>
        <w:rPr>
          <w:rFonts w:hint="eastAsia" w:ascii="宋体" w:hAnsi="宋体" w:eastAsia="宋体" w:cs="宋体"/>
          <w:i w:val="0"/>
          <w:iCs w:val="0"/>
          <w:caps w:val="0"/>
          <w:color w:val="auto"/>
          <w:spacing w:val="0"/>
          <w:sz w:val="21"/>
          <w:szCs w:val="21"/>
          <w:shd w:val="clear" w:fill="FFFFFF"/>
          <w:vertAlign w:val="baseline"/>
        </w:rPr>
        <w:t>。</w:t>
      </w:r>
      <w:r>
        <w:rPr>
          <w:rStyle w:val="36"/>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w:t>
      </w:r>
      <w:r>
        <w:rPr>
          <w:rStyle w:val="36"/>
          <w:rFonts w:hint="eastAsia" w:ascii="宋体" w:hAnsi="宋体" w:eastAsia="宋体" w:cs="宋体"/>
          <w:i w:val="0"/>
          <w:iCs w:val="0"/>
          <w:caps w:val="0"/>
          <w:color w:val="auto"/>
          <w:spacing w:val="0"/>
          <w:sz w:val="21"/>
          <w:szCs w:val="21"/>
          <w:u w:val="single"/>
          <w:shd w:val="clear" w:fill="FFFFFF"/>
          <w:vertAlign w:val="baseline"/>
        </w:rPr>
        <w:t>（关键组件）</w:t>
      </w:r>
      <w:r>
        <w:rPr>
          <w:rFonts w:hint="eastAsia" w:ascii="宋体" w:hAnsi="宋体" w:eastAsia="宋体" w:cs="宋体"/>
          <w:i w:val="0"/>
          <w:iCs w:val="0"/>
          <w:caps w:val="0"/>
          <w:color w:val="auto"/>
          <w:spacing w:val="0"/>
          <w:sz w:val="21"/>
          <w:szCs w:val="21"/>
          <w:shd w:val="clear" w:fill="FFFFFF"/>
          <w:vertAlign w:val="baseline"/>
        </w:rPr>
        <w:t>在中国境内生产。</w:t>
      </w:r>
      <w:r>
        <w:rPr>
          <w:rStyle w:val="36"/>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w:t>
      </w:r>
      <w:r>
        <w:rPr>
          <w:rStyle w:val="36"/>
          <w:rFonts w:hint="eastAsia" w:ascii="宋体" w:hAnsi="宋体" w:eastAsia="宋体" w:cs="宋体"/>
          <w:i w:val="0"/>
          <w:iCs w:val="0"/>
          <w:caps w:val="0"/>
          <w:color w:val="auto"/>
          <w:spacing w:val="0"/>
          <w:sz w:val="21"/>
          <w:szCs w:val="21"/>
          <w:u w:val="single"/>
          <w:shd w:val="clear" w:fill="FFFFFF"/>
          <w:vertAlign w:val="baseline"/>
        </w:rPr>
        <w:t>（关键工序）</w:t>
      </w:r>
      <w:r>
        <w:rPr>
          <w:rFonts w:hint="eastAsia" w:ascii="宋体" w:hAnsi="宋体" w:eastAsia="宋体" w:cs="宋体"/>
          <w:i w:val="0"/>
          <w:iCs w:val="0"/>
          <w:caps w:val="0"/>
          <w:color w:val="auto"/>
          <w:spacing w:val="0"/>
          <w:sz w:val="21"/>
          <w:szCs w:val="21"/>
          <w:shd w:val="clear" w:fill="FFFFFF"/>
          <w:vertAlign w:val="baseline"/>
        </w:rPr>
        <w:t>在中国境内完成。</w:t>
      </w:r>
    </w:p>
    <w:p w14:paraId="451F238F">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w:t>
      </w:r>
    </w:p>
    <w:p w14:paraId="55407A8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本公司（单位）对上述声明内容的真实性负责。如有虚假，愿承担相应法律责任。</w:t>
      </w:r>
    </w:p>
    <w:p w14:paraId="45A32176">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 </w:t>
      </w:r>
    </w:p>
    <w:p w14:paraId="1E0462CB">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right"/>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公司（单位）名称（盖章）：　        </w:t>
      </w:r>
    </w:p>
    <w:p w14:paraId="4B94D552">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right"/>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日期：　     年　  月　  日         </w:t>
      </w:r>
    </w:p>
    <w:p w14:paraId="661C623E">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__________________</w:t>
      </w:r>
    </w:p>
    <w:p w14:paraId="1BE8468A">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1.产品如有型号，请在“产品名称”栏一并填写。</w:t>
      </w:r>
    </w:p>
    <w:p w14:paraId="345852BB">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2.生产厂名与厂址应与生产厂营业执照载明的相关信息保持一致。</w:t>
      </w:r>
    </w:p>
    <w:p w14:paraId="4ABDB48D">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3.该产品的中国境内生产的组件成本占比相关要求实施前，“规定比例”栏可不填，下同。</w:t>
      </w:r>
    </w:p>
    <w:p w14:paraId="6F06288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4.该产品的关键组件要求实施前，“关键组件”栏可不填，下同。</w:t>
      </w:r>
    </w:p>
    <w:p w14:paraId="1C3B5CE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5.该产品的关键工序要求实施前，“关键工序”栏可不填，下同。</w:t>
      </w:r>
    </w:p>
    <w:p w14:paraId="6D22B13F">
      <w:pPr>
        <w:pStyle w:val="64"/>
        <w:spacing w:line="432" w:lineRule="auto"/>
        <w:rPr>
          <w:rFonts w:hint="eastAsia" w:ascii="宋体" w:hAnsi="宋体" w:eastAsia="宋体" w:cs="宋体"/>
          <w:b/>
          <w:spacing w:val="6"/>
          <w:sz w:val="21"/>
          <w:szCs w:val="21"/>
        </w:rPr>
      </w:pPr>
      <w:r>
        <w:rPr>
          <w:rStyle w:val="65"/>
          <w:rFonts w:hint="eastAsia" w:ascii="宋体" w:hAnsi="宋体" w:eastAsia="宋体" w:cs="宋体"/>
          <w:b w:val="0"/>
          <w:bCs w:val="0"/>
          <w:sz w:val="28"/>
          <w:szCs w:val="28"/>
        </w:rPr>
        <w:br w:type="page"/>
      </w:r>
    </w:p>
    <w:p w14:paraId="565168B5">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39" w:name="_Toc103930033"/>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4</w:t>
      </w:r>
      <w:r>
        <w:rPr>
          <w:rFonts w:hint="eastAsia" w:ascii="宋体" w:hAnsi="宋体" w:eastAsia="宋体" w:cs="宋体"/>
          <w:b/>
          <w:bCs/>
          <w:spacing w:val="6"/>
          <w:sz w:val="21"/>
          <w:szCs w:val="21"/>
        </w:rPr>
        <w:t>：</w:t>
      </w:r>
      <w:bookmarkEnd w:id="1139"/>
      <w:r>
        <w:rPr>
          <w:rFonts w:hint="eastAsia" w:ascii="宋体" w:hAnsi="宋体" w:eastAsia="宋体" w:cs="宋体"/>
          <w:b/>
          <w:bCs/>
          <w:spacing w:val="6"/>
          <w:sz w:val="21"/>
          <w:szCs w:val="21"/>
        </w:rPr>
        <w:t>投报业绩一览表</w:t>
      </w:r>
    </w:p>
    <w:p w14:paraId="16963E11">
      <w:pPr>
        <w:spacing w:before="240" w:beforeLines="100" w:after="120" w:afterLines="50" w:line="510" w:lineRule="exact"/>
        <w:jc w:val="center"/>
        <w:rPr>
          <w:rFonts w:hint="eastAsia" w:ascii="宋体" w:hAnsi="宋体" w:eastAsia="宋体" w:cs="宋体"/>
          <w:b/>
          <w:sz w:val="32"/>
        </w:rPr>
      </w:pPr>
      <w:r>
        <w:rPr>
          <w:rFonts w:hint="eastAsia" w:ascii="宋体" w:hAnsi="宋体" w:eastAsia="宋体" w:cs="宋体"/>
          <w:b/>
          <w:bCs/>
        </w:rPr>
        <w:t>投报业绩一览表</w:t>
      </w:r>
    </w:p>
    <w:tbl>
      <w:tblPr>
        <w:tblStyle w:val="30"/>
        <w:tblW w:w="9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134"/>
        <w:gridCol w:w="1985"/>
        <w:gridCol w:w="1984"/>
        <w:gridCol w:w="1134"/>
        <w:gridCol w:w="1559"/>
        <w:gridCol w:w="1305"/>
      </w:tblGrid>
      <w:tr w14:paraId="39F4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830" w:type="dxa"/>
            <w:vAlign w:val="center"/>
          </w:tcPr>
          <w:p w14:paraId="0722E108">
            <w:pPr>
              <w:rPr>
                <w:rFonts w:hint="eastAsia" w:ascii="宋体" w:hAnsi="宋体" w:eastAsia="宋体" w:cs="宋体"/>
                <w:sz w:val="21"/>
                <w:szCs w:val="21"/>
              </w:rPr>
            </w:pPr>
            <w:r>
              <w:rPr>
                <w:rFonts w:hint="eastAsia" w:ascii="宋体" w:hAnsi="宋体" w:eastAsia="宋体" w:cs="宋体"/>
                <w:sz w:val="21"/>
                <w:szCs w:val="21"/>
              </w:rPr>
              <w:t>序号</w:t>
            </w:r>
          </w:p>
        </w:tc>
        <w:tc>
          <w:tcPr>
            <w:tcW w:w="1134" w:type="dxa"/>
            <w:vAlign w:val="center"/>
          </w:tcPr>
          <w:p w14:paraId="560D613F">
            <w:pPr>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1985" w:type="dxa"/>
            <w:vAlign w:val="center"/>
          </w:tcPr>
          <w:p w14:paraId="70FFF61B">
            <w:pPr>
              <w:jc w:val="center"/>
              <w:rPr>
                <w:rFonts w:hint="eastAsia" w:ascii="宋体" w:hAnsi="宋体" w:eastAsia="宋体" w:cs="宋体"/>
                <w:sz w:val="21"/>
                <w:szCs w:val="21"/>
              </w:rPr>
            </w:pPr>
            <w:r>
              <w:rPr>
                <w:rFonts w:hint="eastAsia" w:ascii="宋体" w:hAnsi="宋体" w:eastAsia="宋体" w:cs="宋体"/>
                <w:sz w:val="21"/>
                <w:szCs w:val="21"/>
              </w:rPr>
              <w:t>项目负责人姓名</w:t>
            </w:r>
          </w:p>
        </w:tc>
        <w:tc>
          <w:tcPr>
            <w:tcW w:w="1984" w:type="dxa"/>
            <w:vAlign w:val="center"/>
          </w:tcPr>
          <w:p w14:paraId="08A17976">
            <w:pPr>
              <w:jc w:val="center"/>
              <w:rPr>
                <w:rFonts w:hint="eastAsia" w:ascii="宋体" w:hAnsi="宋体" w:eastAsia="宋体" w:cs="宋体"/>
                <w:sz w:val="21"/>
                <w:szCs w:val="21"/>
              </w:rPr>
            </w:pPr>
            <w:r>
              <w:rPr>
                <w:rFonts w:hint="eastAsia" w:ascii="宋体" w:hAnsi="宋体" w:eastAsia="宋体" w:cs="宋体"/>
                <w:sz w:val="21"/>
                <w:szCs w:val="21"/>
              </w:rPr>
              <w:t>中标公示查询媒体</w:t>
            </w:r>
          </w:p>
        </w:tc>
        <w:tc>
          <w:tcPr>
            <w:tcW w:w="1134" w:type="dxa"/>
            <w:vAlign w:val="center"/>
          </w:tcPr>
          <w:p w14:paraId="53BAED5C">
            <w:pPr>
              <w:jc w:val="center"/>
              <w:rPr>
                <w:rFonts w:hint="eastAsia" w:ascii="宋体" w:hAnsi="宋体" w:eastAsia="宋体" w:cs="宋体"/>
                <w:sz w:val="21"/>
                <w:szCs w:val="21"/>
              </w:rPr>
            </w:pPr>
            <w:r>
              <w:rPr>
                <w:rFonts w:hint="eastAsia" w:ascii="宋体" w:hAnsi="宋体" w:eastAsia="宋体" w:cs="宋体"/>
                <w:sz w:val="21"/>
                <w:szCs w:val="21"/>
              </w:rPr>
              <w:t>合同金额</w:t>
            </w:r>
          </w:p>
        </w:tc>
        <w:tc>
          <w:tcPr>
            <w:tcW w:w="1559" w:type="dxa"/>
            <w:vAlign w:val="center"/>
          </w:tcPr>
          <w:p w14:paraId="57C2EB8A">
            <w:pPr>
              <w:jc w:val="center"/>
              <w:rPr>
                <w:rFonts w:hint="eastAsia" w:ascii="宋体" w:hAnsi="宋体" w:eastAsia="宋体" w:cs="宋体"/>
                <w:sz w:val="21"/>
                <w:szCs w:val="21"/>
              </w:rPr>
            </w:pPr>
            <w:r>
              <w:rPr>
                <w:rFonts w:hint="eastAsia" w:ascii="宋体" w:hAnsi="宋体" w:eastAsia="宋体" w:cs="宋体"/>
                <w:sz w:val="21"/>
                <w:szCs w:val="21"/>
              </w:rPr>
              <w:t>合同签订日期</w:t>
            </w:r>
          </w:p>
        </w:tc>
        <w:tc>
          <w:tcPr>
            <w:tcW w:w="1305" w:type="dxa"/>
            <w:vAlign w:val="center"/>
          </w:tcPr>
          <w:p w14:paraId="39561893">
            <w:pPr>
              <w:jc w:val="center"/>
              <w:rPr>
                <w:rFonts w:hint="eastAsia" w:ascii="宋体" w:hAnsi="宋体" w:eastAsia="宋体" w:cs="宋体"/>
                <w:sz w:val="21"/>
                <w:szCs w:val="21"/>
              </w:rPr>
            </w:pPr>
            <w:r>
              <w:rPr>
                <w:rFonts w:hint="eastAsia" w:ascii="宋体" w:hAnsi="宋体" w:eastAsia="宋体" w:cs="宋体"/>
                <w:sz w:val="21"/>
                <w:szCs w:val="21"/>
              </w:rPr>
              <w:t>验收日期</w:t>
            </w:r>
          </w:p>
        </w:tc>
      </w:tr>
      <w:tr w14:paraId="2AB6B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30" w:type="dxa"/>
            <w:vAlign w:val="center"/>
          </w:tcPr>
          <w:p w14:paraId="1109FD4C">
            <w:pPr>
              <w:rPr>
                <w:rFonts w:hint="eastAsia" w:ascii="宋体" w:hAnsi="宋体" w:eastAsia="宋体" w:cs="宋体"/>
                <w:sz w:val="21"/>
                <w:szCs w:val="21"/>
              </w:rPr>
            </w:pPr>
            <w:r>
              <w:rPr>
                <w:rFonts w:hint="eastAsia" w:ascii="宋体" w:hAnsi="宋体" w:eastAsia="宋体" w:cs="宋体"/>
                <w:sz w:val="21"/>
                <w:szCs w:val="21"/>
              </w:rPr>
              <w:t>1</w:t>
            </w:r>
          </w:p>
        </w:tc>
        <w:tc>
          <w:tcPr>
            <w:tcW w:w="1134" w:type="dxa"/>
            <w:vAlign w:val="center"/>
          </w:tcPr>
          <w:p w14:paraId="19969B8F">
            <w:pPr>
              <w:rPr>
                <w:rFonts w:hint="eastAsia" w:ascii="宋体" w:hAnsi="宋体" w:eastAsia="宋体" w:cs="宋体"/>
                <w:sz w:val="21"/>
                <w:szCs w:val="21"/>
              </w:rPr>
            </w:pPr>
          </w:p>
        </w:tc>
        <w:tc>
          <w:tcPr>
            <w:tcW w:w="1985" w:type="dxa"/>
            <w:vAlign w:val="center"/>
          </w:tcPr>
          <w:p w14:paraId="0419E7BC">
            <w:pPr>
              <w:rPr>
                <w:rFonts w:hint="eastAsia" w:ascii="宋体" w:hAnsi="宋体" w:eastAsia="宋体" w:cs="宋体"/>
                <w:sz w:val="21"/>
                <w:szCs w:val="21"/>
              </w:rPr>
            </w:pPr>
          </w:p>
        </w:tc>
        <w:tc>
          <w:tcPr>
            <w:tcW w:w="1984" w:type="dxa"/>
            <w:vAlign w:val="center"/>
          </w:tcPr>
          <w:p w14:paraId="5C1F920B">
            <w:pPr>
              <w:rPr>
                <w:rFonts w:hint="eastAsia" w:ascii="宋体" w:hAnsi="宋体" w:eastAsia="宋体" w:cs="宋体"/>
                <w:sz w:val="21"/>
                <w:szCs w:val="21"/>
              </w:rPr>
            </w:pPr>
          </w:p>
        </w:tc>
        <w:tc>
          <w:tcPr>
            <w:tcW w:w="1134" w:type="dxa"/>
            <w:vAlign w:val="center"/>
          </w:tcPr>
          <w:p w14:paraId="33CDF1D6">
            <w:pPr>
              <w:rPr>
                <w:rFonts w:hint="eastAsia" w:ascii="宋体" w:hAnsi="宋体" w:eastAsia="宋体" w:cs="宋体"/>
                <w:sz w:val="21"/>
                <w:szCs w:val="21"/>
              </w:rPr>
            </w:pPr>
          </w:p>
        </w:tc>
        <w:tc>
          <w:tcPr>
            <w:tcW w:w="1559" w:type="dxa"/>
            <w:vAlign w:val="center"/>
          </w:tcPr>
          <w:p w14:paraId="0D709320">
            <w:pPr>
              <w:rPr>
                <w:rFonts w:hint="eastAsia" w:ascii="宋体" w:hAnsi="宋体" w:eastAsia="宋体" w:cs="宋体"/>
                <w:sz w:val="21"/>
                <w:szCs w:val="21"/>
              </w:rPr>
            </w:pPr>
          </w:p>
        </w:tc>
        <w:tc>
          <w:tcPr>
            <w:tcW w:w="1305" w:type="dxa"/>
            <w:vAlign w:val="center"/>
          </w:tcPr>
          <w:p w14:paraId="37E3F9DA">
            <w:pPr>
              <w:rPr>
                <w:rFonts w:hint="eastAsia" w:ascii="宋体" w:hAnsi="宋体" w:eastAsia="宋体" w:cs="宋体"/>
                <w:sz w:val="21"/>
                <w:szCs w:val="21"/>
              </w:rPr>
            </w:pPr>
          </w:p>
        </w:tc>
      </w:tr>
      <w:tr w14:paraId="2D28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66B95FAC">
            <w:pPr>
              <w:rPr>
                <w:rFonts w:hint="eastAsia" w:ascii="宋体" w:hAnsi="宋体" w:eastAsia="宋体" w:cs="宋体"/>
                <w:sz w:val="21"/>
                <w:szCs w:val="21"/>
              </w:rPr>
            </w:pPr>
            <w:r>
              <w:rPr>
                <w:rFonts w:hint="eastAsia" w:ascii="宋体" w:hAnsi="宋体" w:eastAsia="宋体" w:cs="宋体"/>
                <w:sz w:val="21"/>
                <w:szCs w:val="21"/>
              </w:rPr>
              <w:t>……</w:t>
            </w:r>
          </w:p>
        </w:tc>
        <w:tc>
          <w:tcPr>
            <w:tcW w:w="1134" w:type="dxa"/>
            <w:vAlign w:val="center"/>
          </w:tcPr>
          <w:p w14:paraId="7FD00331">
            <w:pPr>
              <w:rPr>
                <w:rFonts w:hint="eastAsia" w:ascii="宋体" w:hAnsi="宋体" w:eastAsia="宋体" w:cs="宋体"/>
                <w:sz w:val="21"/>
                <w:szCs w:val="21"/>
              </w:rPr>
            </w:pPr>
          </w:p>
        </w:tc>
        <w:tc>
          <w:tcPr>
            <w:tcW w:w="1985" w:type="dxa"/>
            <w:vAlign w:val="center"/>
          </w:tcPr>
          <w:p w14:paraId="23536342">
            <w:pPr>
              <w:rPr>
                <w:rFonts w:hint="eastAsia" w:ascii="宋体" w:hAnsi="宋体" w:eastAsia="宋体" w:cs="宋体"/>
                <w:sz w:val="21"/>
                <w:szCs w:val="21"/>
              </w:rPr>
            </w:pPr>
          </w:p>
        </w:tc>
        <w:tc>
          <w:tcPr>
            <w:tcW w:w="1984" w:type="dxa"/>
            <w:vAlign w:val="center"/>
          </w:tcPr>
          <w:p w14:paraId="0DDE88F7">
            <w:pPr>
              <w:rPr>
                <w:rFonts w:hint="eastAsia" w:ascii="宋体" w:hAnsi="宋体" w:eastAsia="宋体" w:cs="宋体"/>
                <w:sz w:val="21"/>
                <w:szCs w:val="21"/>
              </w:rPr>
            </w:pPr>
          </w:p>
        </w:tc>
        <w:tc>
          <w:tcPr>
            <w:tcW w:w="1134" w:type="dxa"/>
            <w:vAlign w:val="center"/>
          </w:tcPr>
          <w:p w14:paraId="02D73CB8">
            <w:pPr>
              <w:rPr>
                <w:rFonts w:hint="eastAsia" w:ascii="宋体" w:hAnsi="宋体" w:eastAsia="宋体" w:cs="宋体"/>
                <w:sz w:val="21"/>
                <w:szCs w:val="21"/>
              </w:rPr>
            </w:pPr>
          </w:p>
        </w:tc>
        <w:tc>
          <w:tcPr>
            <w:tcW w:w="1559" w:type="dxa"/>
            <w:vAlign w:val="center"/>
          </w:tcPr>
          <w:p w14:paraId="7AE9167D">
            <w:pPr>
              <w:rPr>
                <w:rFonts w:hint="eastAsia" w:ascii="宋体" w:hAnsi="宋体" w:eastAsia="宋体" w:cs="宋体"/>
                <w:sz w:val="21"/>
                <w:szCs w:val="21"/>
              </w:rPr>
            </w:pPr>
          </w:p>
        </w:tc>
        <w:tc>
          <w:tcPr>
            <w:tcW w:w="1305" w:type="dxa"/>
            <w:vAlign w:val="center"/>
          </w:tcPr>
          <w:p w14:paraId="677E3715">
            <w:pPr>
              <w:rPr>
                <w:rFonts w:hint="eastAsia" w:ascii="宋体" w:hAnsi="宋体" w:eastAsia="宋体" w:cs="宋体"/>
                <w:sz w:val="21"/>
                <w:szCs w:val="21"/>
              </w:rPr>
            </w:pPr>
          </w:p>
        </w:tc>
      </w:tr>
      <w:tr w14:paraId="52F4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30" w:type="dxa"/>
            <w:vAlign w:val="center"/>
          </w:tcPr>
          <w:p w14:paraId="25C49A84">
            <w:pPr>
              <w:rPr>
                <w:rFonts w:hint="eastAsia" w:ascii="宋体" w:hAnsi="宋体" w:eastAsia="宋体" w:cs="宋体"/>
                <w:sz w:val="21"/>
                <w:szCs w:val="21"/>
              </w:rPr>
            </w:pPr>
          </w:p>
        </w:tc>
        <w:tc>
          <w:tcPr>
            <w:tcW w:w="1134" w:type="dxa"/>
            <w:vAlign w:val="center"/>
          </w:tcPr>
          <w:p w14:paraId="33927985">
            <w:pPr>
              <w:rPr>
                <w:rFonts w:hint="eastAsia" w:ascii="宋体" w:hAnsi="宋体" w:eastAsia="宋体" w:cs="宋体"/>
                <w:sz w:val="21"/>
                <w:szCs w:val="21"/>
              </w:rPr>
            </w:pPr>
          </w:p>
        </w:tc>
        <w:tc>
          <w:tcPr>
            <w:tcW w:w="1985" w:type="dxa"/>
            <w:vAlign w:val="center"/>
          </w:tcPr>
          <w:p w14:paraId="1F93E4A0">
            <w:pPr>
              <w:rPr>
                <w:rFonts w:hint="eastAsia" w:ascii="宋体" w:hAnsi="宋体" w:eastAsia="宋体" w:cs="宋体"/>
                <w:sz w:val="21"/>
                <w:szCs w:val="21"/>
              </w:rPr>
            </w:pPr>
          </w:p>
        </w:tc>
        <w:tc>
          <w:tcPr>
            <w:tcW w:w="1984" w:type="dxa"/>
            <w:vAlign w:val="center"/>
          </w:tcPr>
          <w:p w14:paraId="304F4208">
            <w:pPr>
              <w:rPr>
                <w:rFonts w:hint="eastAsia" w:ascii="宋体" w:hAnsi="宋体" w:eastAsia="宋体" w:cs="宋体"/>
                <w:sz w:val="21"/>
                <w:szCs w:val="21"/>
              </w:rPr>
            </w:pPr>
          </w:p>
        </w:tc>
        <w:tc>
          <w:tcPr>
            <w:tcW w:w="1134" w:type="dxa"/>
            <w:vAlign w:val="center"/>
          </w:tcPr>
          <w:p w14:paraId="7494A154">
            <w:pPr>
              <w:rPr>
                <w:rFonts w:hint="eastAsia" w:ascii="宋体" w:hAnsi="宋体" w:eastAsia="宋体" w:cs="宋体"/>
                <w:sz w:val="21"/>
                <w:szCs w:val="21"/>
              </w:rPr>
            </w:pPr>
          </w:p>
        </w:tc>
        <w:tc>
          <w:tcPr>
            <w:tcW w:w="1559" w:type="dxa"/>
            <w:vAlign w:val="center"/>
          </w:tcPr>
          <w:p w14:paraId="26AA8F49">
            <w:pPr>
              <w:rPr>
                <w:rFonts w:hint="eastAsia" w:ascii="宋体" w:hAnsi="宋体" w:eastAsia="宋体" w:cs="宋体"/>
                <w:sz w:val="21"/>
                <w:szCs w:val="21"/>
              </w:rPr>
            </w:pPr>
          </w:p>
        </w:tc>
        <w:tc>
          <w:tcPr>
            <w:tcW w:w="1305" w:type="dxa"/>
            <w:vAlign w:val="center"/>
          </w:tcPr>
          <w:p w14:paraId="3DB5E4F2">
            <w:pPr>
              <w:rPr>
                <w:rFonts w:hint="eastAsia" w:ascii="宋体" w:hAnsi="宋体" w:eastAsia="宋体" w:cs="宋体"/>
                <w:sz w:val="21"/>
                <w:szCs w:val="21"/>
              </w:rPr>
            </w:pPr>
          </w:p>
        </w:tc>
      </w:tr>
      <w:tr w14:paraId="0EA9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05E0CD30">
            <w:pPr>
              <w:rPr>
                <w:rFonts w:hint="eastAsia" w:ascii="宋体" w:hAnsi="宋体" w:eastAsia="宋体" w:cs="宋体"/>
                <w:sz w:val="21"/>
                <w:szCs w:val="21"/>
              </w:rPr>
            </w:pPr>
          </w:p>
        </w:tc>
        <w:tc>
          <w:tcPr>
            <w:tcW w:w="1134" w:type="dxa"/>
            <w:vAlign w:val="center"/>
          </w:tcPr>
          <w:p w14:paraId="18CDC1A2">
            <w:pPr>
              <w:rPr>
                <w:rFonts w:hint="eastAsia" w:ascii="宋体" w:hAnsi="宋体" w:eastAsia="宋体" w:cs="宋体"/>
                <w:sz w:val="21"/>
                <w:szCs w:val="21"/>
              </w:rPr>
            </w:pPr>
          </w:p>
        </w:tc>
        <w:tc>
          <w:tcPr>
            <w:tcW w:w="1985" w:type="dxa"/>
            <w:vAlign w:val="center"/>
          </w:tcPr>
          <w:p w14:paraId="70320196">
            <w:pPr>
              <w:rPr>
                <w:rFonts w:hint="eastAsia" w:ascii="宋体" w:hAnsi="宋体" w:eastAsia="宋体" w:cs="宋体"/>
                <w:sz w:val="21"/>
                <w:szCs w:val="21"/>
              </w:rPr>
            </w:pPr>
          </w:p>
        </w:tc>
        <w:tc>
          <w:tcPr>
            <w:tcW w:w="1984" w:type="dxa"/>
            <w:vAlign w:val="center"/>
          </w:tcPr>
          <w:p w14:paraId="04A3F0D7">
            <w:pPr>
              <w:rPr>
                <w:rFonts w:hint="eastAsia" w:ascii="宋体" w:hAnsi="宋体" w:eastAsia="宋体" w:cs="宋体"/>
                <w:sz w:val="21"/>
                <w:szCs w:val="21"/>
              </w:rPr>
            </w:pPr>
          </w:p>
        </w:tc>
        <w:tc>
          <w:tcPr>
            <w:tcW w:w="1134" w:type="dxa"/>
            <w:vAlign w:val="center"/>
          </w:tcPr>
          <w:p w14:paraId="4043CE6B">
            <w:pPr>
              <w:rPr>
                <w:rFonts w:hint="eastAsia" w:ascii="宋体" w:hAnsi="宋体" w:eastAsia="宋体" w:cs="宋体"/>
                <w:sz w:val="21"/>
                <w:szCs w:val="21"/>
              </w:rPr>
            </w:pPr>
          </w:p>
        </w:tc>
        <w:tc>
          <w:tcPr>
            <w:tcW w:w="1559" w:type="dxa"/>
            <w:vAlign w:val="center"/>
          </w:tcPr>
          <w:p w14:paraId="09081A35">
            <w:pPr>
              <w:rPr>
                <w:rFonts w:hint="eastAsia" w:ascii="宋体" w:hAnsi="宋体" w:eastAsia="宋体" w:cs="宋体"/>
                <w:sz w:val="21"/>
                <w:szCs w:val="21"/>
              </w:rPr>
            </w:pPr>
          </w:p>
        </w:tc>
        <w:tc>
          <w:tcPr>
            <w:tcW w:w="1305" w:type="dxa"/>
            <w:vAlign w:val="center"/>
          </w:tcPr>
          <w:p w14:paraId="16471F48">
            <w:pPr>
              <w:rPr>
                <w:rFonts w:hint="eastAsia" w:ascii="宋体" w:hAnsi="宋体" w:eastAsia="宋体" w:cs="宋体"/>
                <w:sz w:val="21"/>
                <w:szCs w:val="21"/>
              </w:rPr>
            </w:pPr>
          </w:p>
        </w:tc>
      </w:tr>
      <w:tr w14:paraId="76AD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1B8061C6">
            <w:pPr>
              <w:rPr>
                <w:rFonts w:hint="eastAsia" w:ascii="宋体" w:hAnsi="宋体" w:eastAsia="宋体" w:cs="宋体"/>
                <w:sz w:val="21"/>
                <w:szCs w:val="21"/>
              </w:rPr>
            </w:pPr>
          </w:p>
        </w:tc>
        <w:tc>
          <w:tcPr>
            <w:tcW w:w="1134" w:type="dxa"/>
            <w:vAlign w:val="center"/>
          </w:tcPr>
          <w:p w14:paraId="031176A8">
            <w:pPr>
              <w:rPr>
                <w:rFonts w:hint="eastAsia" w:ascii="宋体" w:hAnsi="宋体" w:eastAsia="宋体" w:cs="宋体"/>
                <w:sz w:val="21"/>
                <w:szCs w:val="21"/>
              </w:rPr>
            </w:pPr>
          </w:p>
        </w:tc>
        <w:tc>
          <w:tcPr>
            <w:tcW w:w="1985" w:type="dxa"/>
            <w:vAlign w:val="center"/>
          </w:tcPr>
          <w:p w14:paraId="3F65211C">
            <w:pPr>
              <w:rPr>
                <w:rFonts w:hint="eastAsia" w:ascii="宋体" w:hAnsi="宋体" w:eastAsia="宋体" w:cs="宋体"/>
                <w:sz w:val="21"/>
                <w:szCs w:val="21"/>
              </w:rPr>
            </w:pPr>
          </w:p>
        </w:tc>
        <w:tc>
          <w:tcPr>
            <w:tcW w:w="1984" w:type="dxa"/>
            <w:vAlign w:val="center"/>
          </w:tcPr>
          <w:p w14:paraId="2DA3BF64">
            <w:pPr>
              <w:rPr>
                <w:rFonts w:hint="eastAsia" w:ascii="宋体" w:hAnsi="宋体" w:eastAsia="宋体" w:cs="宋体"/>
                <w:sz w:val="21"/>
                <w:szCs w:val="21"/>
              </w:rPr>
            </w:pPr>
          </w:p>
        </w:tc>
        <w:tc>
          <w:tcPr>
            <w:tcW w:w="1134" w:type="dxa"/>
            <w:vAlign w:val="center"/>
          </w:tcPr>
          <w:p w14:paraId="494B6DD5">
            <w:pPr>
              <w:rPr>
                <w:rFonts w:hint="eastAsia" w:ascii="宋体" w:hAnsi="宋体" w:eastAsia="宋体" w:cs="宋体"/>
                <w:sz w:val="21"/>
                <w:szCs w:val="21"/>
              </w:rPr>
            </w:pPr>
          </w:p>
        </w:tc>
        <w:tc>
          <w:tcPr>
            <w:tcW w:w="1559" w:type="dxa"/>
            <w:vAlign w:val="center"/>
          </w:tcPr>
          <w:p w14:paraId="14DC554C">
            <w:pPr>
              <w:rPr>
                <w:rFonts w:hint="eastAsia" w:ascii="宋体" w:hAnsi="宋体" w:eastAsia="宋体" w:cs="宋体"/>
                <w:sz w:val="21"/>
                <w:szCs w:val="21"/>
              </w:rPr>
            </w:pPr>
          </w:p>
        </w:tc>
        <w:tc>
          <w:tcPr>
            <w:tcW w:w="1305" w:type="dxa"/>
            <w:vAlign w:val="center"/>
          </w:tcPr>
          <w:p w14:paraId="31E5DA90">
            <w:pPr>
              <w:rPr>
                <w:rFonts w:hint="eastAsia" w:ascii="宋体" w:hAnsi="宋体" w:eastAsia="宋体" w:cs="宋体"/>
                <w:sz w:val="21"/>
                <w:szCs w:val="21"/>
              </w:rPr>
            </w:pPr>
          </w:p>
        </w:tc>
      </w:tr>
    </w:tbl>
    <w:p w14:paraId="0C54CEEA">
      <w:pPr>
        <w:widowControl/>
        <w:jc w:val="left"/>
        <w:rPr>
          <w:rFonts w:hint="eastAsia" w:ascii="宋体" w:hAnsi="宋体" w:eastAsia="宋体" w:cs="宋体"/>
          <w:spacing w:val="6"/>
          <w:sz w:val="21"/>
          <w:szCs w:val="21"/>
        </w:rPr>
      </w:pPr>
      <w:r>
        <w:rPr>
          <w:rFonts w:hint="eastAsia" w:ascii="宋体" w:hAnsi="宋体" w:eastAsia="宋体" w:cs="宋体"/>
          <w:spacing w:val="6"/>
          <w:sz w:val="21"/>
          <w:szCs w:val="21"/>
        </w:rPr>
        <w:t>注：1.本表只需填写在本次投标中所投报的所有业绩，用于后期结果公示，某项内容若无则划“/”。</w:t>
      </w:r>
    </w:p>
    <w:p w14:paraId="184A258E">
      <w:pPr>
        <w:widowControl/>
        <w:ind w:firstLine="444" w:firstLineChars="200"/>
        <w:jc w:val="left"/>
        <w:rPr>
          <w:rFonts w:hint="eastAsia" w:ascii="宋体" w:hAnsi="宋体" w:eastAsia="宋体" w:cs="宋体"/>
          <w:spacing w:val="6"/>
          <w:sz w:val="21"/>
          <w:szCs w:val="21"/>
        </w:rPr>
      </w:pPr>
      <w:r>
        <w:rPr>
          <w:rFonts w:hint="eastAsia" w:ascii="宋体" w:hAnsi="宋体" w:eastAsia="宋体" w:cs="宋体"/>
          <w:spacing w:val="6"/>
          <w:sz w:val="21"/>
          <w:szCs w:val="21"/>
        </w:rPr>
        <w:t>2.如本项目未投报业绩，本表可删除。</w:t>
      </w:r>
    </w:p>
    <w:p w14:paraId="5BB7CEA9">
      <w:pPr>
        <w:widowControl/>
        <w:jc w:val="left"/>
        <w:rPr>
          <w:rFonts w:hint="eastAsia" w:ascii="宋体" w:hAnsi="宋体" w:eastAsia="宋体" w:cs="宋体"/>
          <w:b/>
          <w:bCs/>
          <w:spacing w:val="6"/>
        </w:rPr>
      </w:pPr>
    </w:p>
    <w:p w14:paraId="4B0FAAA3">
      <w:pPr>
        <w:widowControl/>
        <w:jc w:val="left"/>
        <w:rPr>
          <w:rFonts w:hint="eastAsia" w:ascii="宋体" w:hAnsi="宋体" w:eastAsia="宋体" w:cs="宋体"/>
          <w:b/>
          <w:spacing w:val="6"/>
          <w:kern w:val="0"/>
          <w:sz w:val="21"/>
          <w:szCs w:val="21"/>
        </w:rPr>
      </w:pPr>
    </w:p>
    <w:p w14:paraId="0EC6799A">
      <w:pPr>
        <w:widowControl/>
        <w:jc w:val="left"/>
        <w:rPr>
          <w:rFonts w:hint="eastAsia" w:ascii="宋体" w:hAnsi="宋体" w:eastAsia="宋体" w:cs="宋体"/>
          <w:b/>
          <w:spacing w:val="6"/>
          <w:kern w:val="0"/>
          <w:sz w:val="21"/>
          <w:szCs w:val="21"/>
        </w:rPr>
      </w:pPr>
      <w:r>
        <w:rPr>
          <w:rFonts w:hint="eastAsia" w:ascii="宋体" w:hAnsi="宋体" w:eastAsia="宋体" w:cs="宋体"/>
          <w:b/>
          <w:spacing w:val="6"/>
          <w:sz w:val="21"/>
          <w:szCs w:val="21"/>
        </w:rPr>
        <w:br w:type="page"/>
      </w:r>
    </w:p>
    <w:p w14:paraId="0D1350DC">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5</w:t>
      </w:r>
      <w:r>
        <w:rPr>
          <w:rFonts w:hint="eastAsia" w:ascii="宋体" w:hAnsi="宋体" w:eastAsia="宋体" w:cs="宋体"/>
          <w:b/>
          <w:bCs/>
          <w:spacing w:val="6"/>
          <w:sz w:val="21"/>
          <w:szCs w:val="21"/>
        </w:rPr>
        <w:t>：河南省政府采购合同融资政策告知函</w:t>
      </w:r>
    </w:p>
    <w:p w14:paraId="5AAB8004">
      <w:pPr>
        <w:pStyle w:val="64"/>
        <w:spacing w:line="440" w:lineRule="exact"/>
        <w:rPr>
          <w:rFonts w:hint="eastAsia" w:ascii="宋体" w:hAnsi="宋体" w:eastAsia="宋体" w:cs="宋体"/>
          <w:b/>
          <w:spacing w:val="6"/>
          <w:sz w:val="21"/>
          <w:szCs w:val="21"/>
        </w:rPr>
      </w:pPr>
      <w:r>
        <w:rPr>
          <w:rFonts w:hint="eastAsia" w:ascii="宋体" w:hAnsi="宋体" w:eastAsia="宋体" w:cs="宋体"/>
          <w:b/>
          <w:spacing w:val="6"/>
          <w:sz w:val="21"/>
          <w:szCs w:val="21"/>
        </w:rPr>
        <w:t>（投标文件无需附此项内容）</w:t>
      </w:r>
    </w:p>
    <w:p w14:paraId="69863FD2">
      <w:pPr>
        <w:spacing w:line="540" w:lineRule="exact"/>
        <w:ind w:firstLine="422" w:firstLineChars="200"/>
        <w:jc w:val="center"/>
        <w:rPr>
          <w:rFonts w:hint="eastAsia" w:ascii="宋体" w:hAnsi="宋体" w:eastAsia="宋体" w:cs="宋体"/>
          <w:b/>
          <w:bCs/>
          <w:sz w:val="21"/>
          <w:szCs w:val="21"/>
        </w:rPr>
      </w:pPr>
      <w:r>
        <w:rPr>
          <w:rFonts w:hint="eastAsia" w:ascii="宋体" w:hAnsi="宋体" w:eastAsia="宋体" w:cs="宋体"/>
          <w:b/>
          <w:bCs/>
          <w:sz w:val="21"/>
          <w:szCs w:val="21"/>
        </w:rPr>
        <w:t>河南省政府采购合同融资政策告知函</w:t>
      </w:r>
    </w:p>
    <w:p w14:paraId="4310CDFB">
      <w:pPr>
        <w:pStyle w:val="64"/>
        <w:spacing w:line="480" w:lineRule="auto"/>
        <w:ind w:left="480"/>
        <w:rPr>
          <w:rFonts w:hint="eastAsia" w:ascii="宋体" w:hAnsi="宋体" w:eastAsia="宋体" w:cs="宋体"/>
          <w:b/>
          <w:sz w:val="21"/>
          <w:szCs w:val="21"/>
        </w:rPr>
      </w:pPr>
      <w:r>
        <w:rPr>
          <w:rFonts w:hint="eastAsia" w:ascii="宋体" w:hAnsi="宋体" w:eastAsia="宋体" w:cs="宋体"/>
          <w:b/>
          <w:sz w:val="21"/>
          <w:szCs w:val="21"/>
        </w:rPr>
        <w:t>各供应商：</w:t>
      </w:r>
    </w:p>
    <w:p w14:paraId="10AEE074">
      <w:pPr>
        <w:pStyle w:val="64"/>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欢迎贵公司参与河南省政府采购活动！</w:t>
      </w:r>
    </w:p>
    <w:p w14:paraId="07DBB942">
      <w:pPr>
        <w:pStyle w:val="64"/>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71FBB233">
      <w:pPr>
        <w:pStyle w:val="64"/>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贷款渠道和提供贷款的金融机构，可在河南省政府采购网“河南省政府采购合同融资平台”查询联系。</w:t>
      </w:r>
    </w:p>
    <w:p w14:paraId="3438EF5C">
      <w:pPr>
        <w:widowControl/>
        <w:jc w:val="left"/>
        <w:rPr>
          <w:rFonts w:hint="eastAsia" w:ascii="宋体" w:hAnsi="宋体" w:eastAsia="宋体" w:cs="宋体"/>
          <w:b/>
          <w:spacing w:val="6"/>
          <w:kern w:val="0"/>
          <w:sz w:val="21"/>
          <w:szCs w:val="21"/>
        </w:rPr>
      </w:pPr>
      <w:r>
        <w:rPr>
          <w:rFonts w:hint="eastAsia" w:ascii="宋体" w:hAnsi="宋体" w:eastAsia="宋体" w:cs="宋体"/>
          <w:b/>
          <w:spacing w:val="6"/>
          <w:sz w:val="21"/>
          <w:szCs w:val="21"/>
        </w:rPr>
        <w:br w:type="page"/>
      </w:r>
    </w:p>
    <w:p w14:paraId="5E2C9897">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6</w:t>
      </w:r>
      <w:r>
        <w:rPr>
          <w:rFonts w:hint="eastAsia" w:ascii="宋体" w:hAnsi="宋体" w:eastAsia="宋体" w:cs="宋体"/>
          <w:b/>
          <w:bCs/>
          <w:spacing w:val="6"/>
          <w:sz w:val="21"/>
          <w:szCs w:val="21"/>
        </w:rPr>
        <w:t>：中小企业划型标准规定</w:t>
      </w:r>
    </w:p>
    <w:p w14:paraId="63788F18">
      <w:pPr>
        <w:spacing w:before="100" w:beforeAutospacing="1" w:after="100" w:afterAutospacing="1" w:line="360" w:lineRule="auto"/>
        <w:jc w:val="left"/>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37A4796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eastAsia="宋体" w:cs="宋体"/>
          <w:kern w:val="0"/>
          <w:sz w:val="21"/>
          <w:szCs w:val="21"/>
        </w:rPr>
      </w:pPr>
      <w:bookmarkStart w:id="1140" w:name="_Toc27946"/>
      <w:r>
        <w:rPr>
          <w:rFonts w:hint="eastAsia" w:ascii="宋体" w:hAnsi="宋体" w:eastAsia="宋体" w:cs="宋体"/>
          <w:kern w:val="0"/>
          <w:sz w:val="21"/>
          <w:szCs w:val="21"/>
        </w:rPr>
        <w:t>工信部联企业〔</w:t>
      </w:r>
      <w:bookmarkEnd w:id="1140"/>
      <w:r>
        <w:rPr>
          <w:rFonts w:hint="eastAsia" w:ascii="宋体" w:hAnsi="宋体" w:eastAsia="宋体" w:cs="宋体"/>
          <w:kern w:val="0"/>
          <w:sz w:val="21"/>
          <w:szCs w:val="21"/>
        </w:rPr>
        <w:t>2011〕300号</w:t>
      </w:r>
    </w:p>
    <w:p w14:paraId="456640F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各省、自治区、直辖市人民政府，国务院各部委、各直属机构及有关单位：</w:t>
      </w:r>
    </w:p>
    <w:p w14:paraId="4FBF2C4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114C9FF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工业和信息化部</w:t>
      </w:r>
    </w:p>
    <w:p w14:paraId="5951410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国家统计局</w:t>
      </w:r>
    </w:p>
    <w:p w14:paraId="2D11224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国家发展和改革委员会</w:t>
      </w:r>
    </w:p>
    <w:p w14:paraId="5B27119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财政部</w:t>
      </w:r>
    </w:p>
    <w:p w14:paraId="584B412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lang w:eastAsia="zh-CN"/>
        </w:rPr>
        <w:t>二〇一一</w:t>
      </w:r>
      <w:r>
        <w:rPr>
          <w:rFonts w:hint="eastAsia" w:ascii="宋体" w:hAnsi="宋体" w:eastAsia="宋体" w:cs="宋体"/>
          <w:kern w:val="0"/>
          <w:sz w:val="21"/>
          <w:szCs w:val="21"/>
        </w:rPr>
        <w:t>年六月十八日</w:t>
      </w:r>
      <w:bookmarkStart w:id="1141" w:name="_Toc4126"/>
      <w:bookmarkEnd w:id="1141"/>
      <w:bookmarkStart w:id="1142" w:name="_Toc13328"/>
      <w:bookmarkEnd w:id="1142"/>
      <w:bookmarkStart w:id="1143" w:name="_Toc19819"/>
      <w:bookmarkEnd w:id="1143"/>
      <w:r>
        <w:rPr>
          <w:rFonts w:hint="eastAsia" w:ascii="宋体" w:hAnsi="宋体" w:eastAsia="宋体" w:cs="宋体"/>
          <w:kern w:val="0"/>
          <w:sz w:val="21"/>
          <w:szCs w:val="21"/>
        </w:rPr>
        <w:t> </w:t>
      </w:r>
    </w:p>
    <w:p w14:paraId="69EDDE8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eastAsia="宋体" w:cs="宋体"/>
          <w:kern w:val="0"/>
          <w:sz w:val="21"/>
          <w:szCs w:val="21"/>
        </w:rPr>
      </w:pPr>
      <w:bookmarkStart w:id="1144" w:name="_Toc6557"/>
      <w:r>
        <w:rPr>
          <w:rFonts w:hint="eastAsia" w:ascii="宋体" w:hAnsi="宋体" w:eastAsia="宋体" w:cs="宋体"/>
          <w:kern w:val="0"/>
          <w:sz w:val="21"/>
          <w:szCs w:val="21"/>
        </w:rPr>
        <w:t>中小企业划型标准规定</w:t>
      </w:r>
      <w:bookmarkEnd w:id="1144"/>
    </w:p>
    <w:p w14:paraId="15AC4D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w:t>
      </w:r>
    </w:p>
    <w:p w14:paraId="157658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一、根据《中华人民共和国中小企业促进法》和《国务院关于进一步促进中小企业发展的若干意见》(国发〔2009〕36号)，制定本规定。</w:t>
      </w:r>
    </w:p>
    <w:p w14:paraId="73B4FBE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二、中小企业划分为中型、小型、微型三种类型，具体标准根据企业从业人员、营业收入、资产总额等指标，结合行业特点制定。</w:t>
      </w:r>
    </w:p>
    <w:p w14:paraId="1680D91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157D02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四、各行业划型标准为：</w:t>
      </w:r>
    </w:p>
    <w:p w14:paraId="1CC2B7B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（一）农、林、牧、渔业。营业收入20000万元以下的为中小微型企业。其中，营业收入500万元及以上的为中型企业，营业收入50万元及以上的为小型企业，营业收入50万元以下的为微型企业。</w:t>
      </w:r>
    </w:p>
    <w:p w14:paraId="71E9BB0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954276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DD47ED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345C7E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76F98C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A3A51D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DDBFA7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A4D8C9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812BC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0F194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DDA05D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437916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291C31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CA937B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8058AB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（十六）其他未列明行业。从业人员300人以下的为中小微型企业。其中，从业人员100人及以上的为中型企业；从业人员10人及以上的为小型企业；从业人员10人以下的为微型企业。</w:t>
      </w:r>
    </w:p>
    <w:p w14:paraId="0986154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五、企业类型的划分以统计部门的统计数据为依据。</w:t>
      </w:r>
    </w:p>
    <w:p w14:paraId="0173E7A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六、本规定适用于在中华人民共和国境内依法设立的各类所有制和各种组织形式的企业。个体工商户和本规定以外的行业，参照本规定进行划型。</w:t>
      </w:r>
    </w:p>
    <w:p w14:paraId="3B1AF77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1F96C15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八、本规定由工业和信息化部、国家统计局会同有关部门根据《国民经济行业分类》修订情况和企业发展变化情况适时修订。</w:t>
      </w:r>
    </w:p>
    <w:p w14:paraId="7FE4C51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九、本规定由工业和信息化部、国家统计局会同有关部门负责解释。</w:t>
      </w:r>
    </w:p>
    <w:p w14:paraId="3C5347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rPr>
        <w:t>十、本规定自发布之日起执行，原国家经贸委、原国家计委、财政部和国家统计局2003年颁布的《中小企业标准暂行规定》同时废止</w:t>
      </w:r>
      <w:r>
        <w:rPr>
          <w:rFonts w:hint="eastAsia" w:ascii="宋体" w:hAnsi="宋体" w:eastAsia="宋体" w:cs="宋体"/>
          <w:kern w:val="0"/>
          <w:sz w:val="21"/>
          <w:szCs w:val="21"/>
          <w:lang w:eastAsia="zh-CN"/>
        </w:rPr>
        <w:t>。</w:t>
      </w:r>
    </w:p>
    <w:p w14:paraId="7E25A18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66C4D5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F45C5F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51EA3F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2548D1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8F1A9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636A34B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AB78F9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6BBF04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8A58F1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C28BCB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0D7515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26173B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66ECC6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5F96E6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4694C72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16433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279257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505A88E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EBCFA86">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default" w:ascii="宋体" w:hAnsi="宋体" w:eastAsia="宋体" w:cs="宋体"/>
          <w:b/>
          <w:bCs/>
          <w:spacing w:val="6"/>
          <w:sz w:val="21"/>
          <w:szCs w:val="21"/>
          <w:lang w:val="en-US" w:eastAsia="zh-CN"/>
        </w:rPr>
      </w:pPr>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7</w:t>
      </w:r>
      <w:r>
        <w:rPr>
          <w:rFonts w:hint="eastAsia" w:ascii="宋体" w:hAnsi="宋体" w:eastAsia="宋体" w:cs="宋体"/>
          <w:b/>
          <w:bCs/>
          <w:spacing w:val="6"/>
          <w:sz w:val="21"/>
          <w:szCs w:val="21"/>
        </w:rPr>
        <w:t>：</w:t>
      </w:r>
      <w:r>
        <w:rPr>
          <w:rFonts w:hint="eastAsia" w:ascii="宋体" w:hAnsi="宋体" w:eastAsia="宋体" w:cs="宋体"/>
          <w:b/>
          <w:bCs/>
          <w:spacing w:val="6"/>
          <w:sz w:val="21"/>
          <w:szCs w:val="21"/>
          <w:lang w:val="en-US" w:eastAsia="zh-CN"/>
        </w:rPr>
        <w:t>政府采购中实施本国产品标准及相关政策的通知</w:t>
      </w:r>
    </w:p>
    <w:p w14:paraId="60C20326">
      <w:pPr>
        <w:spacing w:before="100" w:beforeAutospacing="1" w:after="100" w:afterAutospacing="1" w:line="440" w:lineRule="exact"/>
        <w:jc w:val="left"/>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521E4A68">
      <w:pPr>
        <w:rPr>
          <w:rFonts w:hint="eastAsia" w:ascii="宋体" w:hAnsi="宋体" w:eastAsia="宋体" w:cs="宋体"/>
          <w:lang w:eastAsia="zh-CN"/>
        </w:rPr>
      </w:pPr>
      <w:r>
        <w:rPr>
          <w:rFonts w:hint="eastAsia" w:ascii="宋体" w:hAnsi="宋体" w:eastAsia="宋体" w:cs="宋体"/>
          <w:lang w:eastAsia="zh-CN"/>
        </w:rPr>
        <w:drawing>
          <wp:inline distT="0" distB="0" distL="114300" distR="114300">
            <wp:extent cx="5866130" cy="7661910"/>
            <wp:effectExtent l="0" t="0" r="1270" b="15240"/>
            <wp:docPr id="1" name="图片 1" descr="国务院办公厅关于在政府采购中实施本国产品标准及相关政策的通知_中国政府采购网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务院办公厅关于在政府采购中实施本国产品标准及相关政策的通知_中国政府采购网_01"/>
                    <pic:cNvPicPr>
                      <a:picLocks noChangeAspect="1"/>
                    </pic:cNvPicPr>
                  </pic:nvPicPr>
                  <pic:blipFill>
                    <a:blip r:embed="rId14"/>
                    <a:stretch>
                      <a:fillRect/>
                    </a:stretch>
                  </pic:blipFill>
                  <pic:spPr>
                    <a:xfrm>
                      <a:off x="0" y="0"/>
                      <a:ext cx="5866130" cy="7661910"/>
                    </a:xfrm>
                    <a:prstGeom prst="rect">
                      <a:avLst/>
                    </a:prstGeom>
                  </pic:spPr>
                </pic:pic>
              </a:graphicData>
            </a:graphic>
          </wp:inline>
        </w:drawing>
      </w:r>
    </w:p>
    <w:p w14:paraId="5C5F10B1">
      <w:pPr>
        <w:rPr>
          <w:rFonts w:hint="eastAsia" w:ascii="宋体" w:hAnsi="宋体" w:eastAsia="宋体" w:cs="宋体"/>
          <w:lang w:eastAsia="zh-CN"/>
        </w:rPr>
      </w:pPr>
      <w:r>
        <w:rPr>
          <w:rFonts w:hint="eastAsia" w:ascii="宋体" w:hAnsi="宋体" w:eastAsia="宋体" w:cs="宋体"/>
          <w:lang w:eastAsia="zh-CN"/>
        </w:rPr>
        <w:drawing>
          <wp:inline distT="0" distB="0" distL="114300" distR="114300">
            <wp:extent cx="6143625" cy="8695055"/>
            <wp:effectExtent l="0" t="0" r="9525" b="10795"/>
            <wp:docPr id="2" name="图片 2" descr="国务院办公厅关于在政府采购中实施本国产品标准及相关政策的通知_中国政府采购网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国务院办公厅关于在政府采购中实施本国产品标准及相关政策的通知_中国政府采购网_02"/>
                    <pic:cNvPicPr>
                      <a:picLocks noChangeAspect="1"/>
                    </pic:cNvPicPr>
                  </pic:nvPicPr>
                  <pic:blipFill>
                    <a:blip r:embed="rId15"/>
                    <a:stretch>
                      <a:fillRect/>
                    </a:stretch>
                  </pic:blipFill>
                  <pic:spPr>
                    <a:xfrm>
                      <a:off x="0" y="0"/>
                      <a:ext cx="6143625" cy="8695055"/>
                    </a:xfrm>
                    <a:prstGeom prst="rect">
                      <a:avLst/>
                    </a:prstGeom>
                  </pic:spPr>
                </pic:pic>
              </a:graphicData>
            </a:graphic>
          </wp:inline>
        </w:drawing>
      </w:r>
      <w:r>
        <w:rPr>
          <w:rFonts w:hint="eastAsia" w:ascii="宋体" w:hAnsi="宋体" w:eastAsia="宋体" w:cs="宋体"/>
          <w:lang w:eastAsia="zh-CN"/>
        </w:rPr>
        <w:drawing>
          <wp:inline distT="0" distB="0" distL="114300" distR="114300">
            <wp:extent cx="6143625" cy="8695055"/>
            <wp:effectExtent l="0" t="0" r="9525" b="10795"/>
            <wp:docPr id="3" name="图片 3" descr="国务院办公厅关于在政府采购中实施本国产品标准及相关政策的通知_中国政府采购网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国务院办公厅关于在政府采购中实施本国产品标准及相关政策的通知_中国政府采购网_03"/>
                    <pic:cNvPicPr>
                      <a:picLocks noChangeAspect="1"/>
                    </pic:cNvPicPr>
                  </pic:nvPicPr>
                  <pic:blipFill>
                    <a:blip r:embed="rId16"/>
                    <a:stretch>
                      <a:fillRect/>
                    </a:stretch>
                  </pic:blipFill>
                  <pic:spPr>
                    <a:xfrm>
                      <a:off x="0" y="0"/>
                      <a:ext cx="6143625" cy="8695055"/>
                    </a:xfrm>
                    <a:prstGeom prst="rect">
                      <a:avLst/>
                    </a:prstGeom>
                  </pic:spPr>
                </pic:pic>
              </a:graphicData>
            </a:graphic>
          </wp:inline>
        </w:drawing>
      </w:r>
      <w:r>
        <w:rPr>
          <w:rFonts w:hint="eastAsia" w:ascii="宋体" w:hAnsi="宋体" w:eastAsia="宋体" w:cs="宋体"/>
          <w:lang w:eastAsia="zh-CN"/>
        </w:rPr>
        <w:drawing>
          <wp:inline distT="0" distB="0" distL="114300" distR="114300">
            <wp:extent cx="6143625" cy="8695055"/>
            <wp:effectExtent l="0" t="0" r="9525" b="10795"/>
            <wp:docPr id="4" name="图片 4" descr="国务院办公厅关于在政府采购中实施本国产品标准及相关政策的通知_中国政府采购网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国务院办公厅关于在政府采购中实施本国产品标准及相关政策的通知_中国政府采购网_04"/>
                    <pic:cNvPicPr>
                      <a:picLocks noChangeAspect="1"/>
                    </pic:cNvPicPr>
                  </pic:nvPicPr>
                  <pic:blipFill>
                    <a:blip r:embed="rId17"/>
                    <a:stretch>
                      <a:fillRect/>
                    </a:stretch>
                  </pic:blipFill>
                  <pic:spPr>
                    <a:xfrm>
                      <a:off x="0" y="0"/>
                      <a:ext cx="6143625" cy="8695055"/>
                    </a:xfrm>
                    <a:prstGeom prst="rect">
                      <a:avLst/>
                    </a:prstGeom>
                  </pic:spPr>
                </pic:pic>
              </a:graphicData>
            </a:graphic>
          </wp:inline>
        </w:drawing>
      </w:r>
      <w:r>
        <w:rPr>
          <w:rFonts w:hint="eastAsia" w:ascii="宋体" w:hAnsi="宋体" w:eastAsia="宋体" w:cs="宋体"/>
          <w:lang w:eastAsia="zh-CN"/>
        </w:rPr>
        <w:drawing>
          <wp:inline distT="0" distB="0" distL="114300" distR="114300">
            <wp:extent cx="6143625" cy="8695055"/>
            <wp:effectExtent l="0" t="0" r="9525" b="10795"/>
            <wp:docPr id="5" name="图片 5" descr="国务院办公厅关于在政府采购中实施本国产品标准及相关政策的通知_中国政府采购网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国务院办公厅关于在政府采购中实施本国产品标准及相关政策的通知_中国政府采购网_05"/>
                    <pic:cNvPicPr>
                      <a:picLocks noChangeAspect="1"/>
                    </pic:cNvPicPr>
                  </pic:nvPicPr>
                  <pic:blipFill>
                    <a:blip r:embed="rId18"/>
                    <a:stretch>
                      <a:fillRect/>
                    </a:stretch>
                  </pic:blipFill>
                  <pic:spPr>
                    <a:xfrm>
                      <a:off x="0" y="0"/>
                      <a:ext cx="6143625" cy="8695055"/>
                    </a:xfrm>
                    <a:prstGeom prst="rect">
                      <a:avLst/>
                    </a:prstGeom>
                  </pic:spPr>
                </pic:pic>
              </a:graphicData>
            </a:graphic>
          </wp:inline>
        </w:drawing>
      </w:r>
      <w:r>
        <w:rPr>
          <w:rFonts w:hint="eastAsia" w:ascii="宋体" w:hAnsi="宋体" w:eastAsia="宋体" w:cs="宋体"/>
          <w:lang w:eastAsia="zh-CN"/>
        </w:rPr>
        <w:drawing>
          <wp:inline distT="0" distB="0" distL="114300" distR="114300">
            <wp:extent cx="6143625" cy="8695055"/>
            <wp:effectExtent l="0" t="0" r="9525" b="10795"/>
            <wp:docPr id="6" name="图片 6" descr="关于贯彻落实《国务院办公厅关于在政府采购中实施本国产品标准及相关政策的通知》的意见_中国政府采购网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关于贯彻落实《国务院办公厅关于在政府采购中实施本国产品标准及相关政策的通知》的意见_中国政府采购网_01"/>
                    <pic:cNvPicPr>
                      <a:picLocks noChangeAspect="1"/>
                    </pic:cNvPicPr>
                  </pic:nvPicPr>
                  <pic:blipFill>
                    <a:blip r:embed="rId19"/>
                    <a:stretch>
                      <a:fillRect/>
                    </a:stretch>
                  </pic:blipFill>
                  <pic:spPr>
                    <a:xfrm>
                      <a:off x="0" y="0"/>
                      <a:ext cx="6143625" cy="8695055"/>
                    </a:xfrm>
                    <a:prstGeom prst="rect">
                      <a:avLst/>
                    </a:prstGeom>
                  </pic:spPr>
                </pic:pic>
              </a:graphicData>
            </a:graphic>
          </wp:inline>
        </w:drawing>
      </w:r>
      <w:r>
        <w:rPr>
          <w:rFonts w:hint="eastAsia" w:ascii="宋体" w:hAnsi="宋体" w:eastAsia="宋体" w:cs="宋体"/>
          <w:lang w:eastAsia="zh-CN"/>
        </w:rPr>
        <w:drawing>
          <wp:inline distT="0" distB="0" distL="114300" distR="114300">
            <wp:extent cx="6143625" cy="8695055"/>
            <wp:effectExtent l="0" t="0" r="9525" b="10795"/>
            <wp:docPr id="7" name="图片 7" descr="关于贯彻落实《国务院办公厅关于在政府采购中实施本国产品标准及相关政策的通知》的意见_中国政府采购网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关于贯彻落实《国务院办公厅关于在政府采购中实施本国产品标准及相关政策的通知》的意见_中国政府采购网_02"/>
                    <pic:cNvPicPr>
                      <a:picLocks noChangeAspect="1"/>
                    </pic:cNvPicPr>
                  </pic:nvPicPr>
                  <pic:blipFill>
                    <a:blip r:embed="rId20"/>
                    <a:stretch>
                      <a:fillRect/>
                    </a:stretch>
                  </pic:blipFill>
                  <pic:spPr>
                    <a:xfrm>
                      <a:off x="0" y="0"/>
                      <a:ext cx="6143625" cy="8695055"/>
                    </a:xfrm>
                    <a:prstGeom prst="rect">
                      <a:avLst/>
                    </a:prstGeom>
                  </pic:spPr>
                </pic:pic>
              </a:graphicData>
            </a:graphic>
          </wp:inline>
        </w:drawing>
      </w:r>
      <w:r>
        <w:rPr>
          <w:rFonts w:hint="eastAsia" w:ascii="宋体" w:hAnsi="宋体" w:eastAsia="宋体" w:cs="宋体"/>
          <w:lang w:eastAsia="zh-CN"/>
        </w:rPr>
        <w:drawing>
          <wp:inline distT="0" distB="0" distL="114300" distR="114300">
            <wp:extent cx="6143625" cy="8295640"/>
            <wp:effectExtent l="0" t="0" r="9525" b="10160"/>
            <wp:docPr id="8" name="图片 8" descr="关于贯彻落实《国务院办公厅关于在政府采购中实施本国产品标准及相关政策的通知》的意见_中国政府采购网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关于贯彻落实《国务院办公厅关于在政府采购中实施本国产品标准及相关政策的通知》的意见_中国政府采购网_03"/>
                    <pic:cNvPicPr>
                      <a:picLocks noChangeAspect="1"/>
                    </pic:cNvPicPr>
                  </pic:nvPicPr>
                  <pic:blipFill>
                    <a:blip r:embed="rId21"/>
                    <a:stretch>
                      <a:fillRect/>
                    </a:stretch>
                  </pic:blipFill>
                  <pic:spPr>
                    <a:xfrm>
                      <a:off x="0" y="0"/>
                      <a:ext cx="6143625" cy="8295640"/>
                    </a:xfrm>
                    <a:prstGeom prst="rect">
                      <a:avLst/>
                    </a:prstGeom>
                  </pic:spPr>
                </pic:pic>
              </a:graphicData>
            </a:graphic>
          </wp:inline>
        </w:drawing>
      </w:r>
    </w:p>
    <w:p w14:paraId="43447BE4">
      <w:pPr>
        <w:rPr>
          <w:rFonts w:hint="eastAsia" w:ascii="宋体" w:hAnsi="宋体" w:eastAsia="宋体" w:cs="宋体"/>
          <w:lang w:eastAsia="zh-CN"/>
        </w:rPr>
      </w:pPr>
    </w:p>
    <w:p w14:paraId="41E5BFBE">
      <w:pPr>
        <w:rPr>
          <w:rFonts w:hint="eastAsia" w:ascii="宋体" w:hAnsi="宋体" w:eastAsia="宋体" w:cs="宋体"/>
          <w:lang w:eastAsia="zh-CN"/>
        </w:rPr>
      </w:pPr>
    </w:p>
    <w:p w14:paraId="0B7E1FA6">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8</w:t>
      </w:r>
      <w:r>
        <w:rPr>
          <w:rFonts w:hint="eastAsia" w:ascii="宋体" w:hAnsi="宋体" w:eastAsia="宋体" w:cs="宋体"/>
          <w:b/>
          <w:bCs/>
          <w:spacing w:val="6"/>
          <w:sz w:val="21"/>
          <w:szCs w:val="21"/>
        </w:rPr>
        <w:t>：</w:t>
      </w:r>
      <w:r>
        <w:rPr>
          <w:rFonts w:hint="eastAsia" w:ascii="宋体" w:hAnsi="宋体" w:eastAsia="宋体" w:cs="宋体"/>
          <w:b/>
          <w:bCs/>
          <w:spacing w:val="6"/>
          <w:sz w:val="21"/>
          <w:szCs w:val="21"/>
          <w:lang w:eastAsia="zh-CN"/>
        </w:rPr>
        <w:t>关于推动解决政府采购异常低价问题的通知</w:t>
      </w:r>
    </w:p>
    <w:p w14:paraId="59070769">
      <w:pPr>
        <w:spacing w:before="100" w:beforeAutospacing="1" w:after="100" w:afterAutospacing="1" w:line="440" w:lineRule="exact"/>
        <w:jc w:val="left"/>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228C07D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关于推动解决政府采购异常低价问题的通知</w:t>
      </w:r>
    </w:p>
    <w:p w14:paraId="77376B8F">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财库〔2026〕2号</w:t>
      </w:r>
    </w:p>
    <w:p w14:paraId="636A85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各中央预算单位，各省、自治区、直辖市、计划单列市财政厅（局），新疆生产建设兵团财政局：</w:t>
      </w:r>
    </w:p>
    <w:p w14:paraId="5BCCDB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为整治政府采购领域“内卷式”竞争，形成优质优价、良性竞争的市场秩序，现就推动解决政府采购异常低价问题有关事项通知如下：</w:t>
      </w:r>
    </w:p>
    <w:p w14:paraId="621A6E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一、加强政府采购需求管理</w:t>
      </w:r>
    </w:p>
    <w:p w14:paraId="7CDDE69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根据实际工作需要，综合考虑同类项目中标（成交）信息，以及市场供给和产业发展状况，材料、人工等市场价格，行业费用标准等市场调查情况，形成科学、完整、清晰的采购需求，合理设定最高限价，为供应商竞争报价提供基础。未设定最高限价的采购项目，以采购项目预算金额作为最高限价。</w:t>
      </w:r>
    </w:p>
    <w:p w14:paraId="169223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要综合考虑技术、成本效益、促进竞争等因素，按照专业类型和专业领域，合理设置采购包。采购人可以引入全生命周期成本理念，在采购文件中要求供应商对约定期限内的运营、维护、升级，专用耗材，处置报废等费用进行报价，作为评审因素，并在采购合同中明确，供应商应当在约定期限内以不高于其报价的价格向采购人提供专用耗材或者相关服务。采购项目采用综合评分法的，应当按照相关规定科学合理确定价格、技术、商务等因素的分值和权重。</w:t>
      </w:r>
    </w:p>
    <w:p w14:paraId="5759B39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0E5140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二、强化政府采购异常低价审查</w:t>
      </w:r>
    </w:p>
    <w:p w14:paraId="1AE9E7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（一）采购人应当在采购文件中明确，政府采购评审中出现下列情形之一的，评审委员会应当启动异常低价投标（响应）审查程序：</w:t>
      </w:r>
    </w:p>
    <w:p w14:paraId="2758DB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投标（响应）报价低于全部通过符合性审查供应商投标（响应）报价平均值50%的，即投标（响应）报价&lt;全部通过符合性审查供应商投标（响应）报价平均值×50%；</w:t>
      </w:r>
    </w:p>
    <w:p w14:paraId="013EB10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投标（响应）报价低于通过符合性审查的次低报价供应商投标（响应）报价50%的，即投标（响应）报价&lt;通过符合性审查的次低报价供应商投标（响应）报价×50%；</w:t>
      </w:r>
    </w:p>
    <w:p w14:paraId="3F7B7C0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投标（响应）报价低于采购项目最高限价45%的，即投标（响应）报价&lt;采购项目最高限价×45%；</w:t>
      </w:r>
    </w:p>
    <w:p w14:paraId="57EE2D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评审委员会基于专业判断，认为供应商报价过低，有可能影响产品质量或者不能诚信履约的其他情形。</w:t>
      </w:r>
    </w:p>
    <w:p w14:paraId="4A5541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采购人可以结合具体项目实际情况，提高上述第1项至第3项中启动异常低价投标（响应）审查的数值标准，但是最高不得超过65%。</w:t>
      </w:r>
    </w:p>
    <w:p w14:paraId="205574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相关法律法规对供应商报价有规定的，从其规定。</w:t>
      </w:r>
    </w:p>
    <w:p w14:paraId="2BD858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27713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C9043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F0664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异常低价投标（响应）审查的启动原因、审查意见和审查结果应当在评审报告中记录，并随供应商提供的相关书面说明及证明材料，以及评审委员会有关互联网浏览、查询历史一并归档。</w:t>
      </w:r>
    </w:p>
    <w:p w14:paraId="77838B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62C46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三、加强政府采购履约验收管理</w:t>
      </w:r>
    </w:p>
    <w:p w14:paraId="5E1EB6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3D659C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部门、各地区要充分认识解决政府采购异常低价问题的重要意义，加强组织领导，周密安排部署，强化监督指导，结合工作实际，通过完善采购文件标准文本、增设交易系统功能、加强履约担保、加大违约责任追究力度等措施，进一步细化工作举措，确保各项要求落实到位。</w:t>
      </w:r>
    </w:p>
    <w:p w14:paraId="52CB9A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本通知自2026年2月1日起施行。</w:t>
      </w:r>
    </w:p>
    <w:p w14:paraId="0F3201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p w14:paraId="63AE10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p>
    <w:p w14:paraId="6416F545">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财政部</w:t>
      </w:r>
    </w:p>
    <w:p w14:paraId="003E23CA">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p>
    <w:p w14:paraId="7E8BF829">
      <w:pPr>
        <w:keepNext w:val="0"/>
        <w:keepLines w:val="0"/>
        <w:pageBreakBefore w:val="0"/>
        <w:widowControl w:val="0"/>
        <w:kinsoku/>
        <w:wordWrap/>
        <w:overflowPunct/>
        <w:topLinePunct w:val="0"/>
        <w:autoSpaceDE/>
        <w:autoSpaceDN/>
        <w:bidi w:val="0"/>
        <w:adjustRightInd/>
        <w:snapToGrid/>
        <w:spacing w:line="360" w:lineRule="auto"/>
        <w:jc w:val="right"/>
        <w:textAlignment w:val="auto"/>
        <w:rPr>
          <w:sz w:val="21"/>
          <w:szCs w:val="21"/>
          <w:lang w:val="zh-CN"/>
        </w:rPr>
      </w:pPr>
      <w:r>
        <w:rPr>
          <w:rFonts w:hint="eastAsia" w:ascii="宋体" w:hAnsi="宋体" w:eastAsia="宋体" w:cs="宋体"/>
          <w:sz w:val="21"/>
          <w:szCs w:val="21"/>
          <w:lang w:eastAsia="zh-CN"/>
        </w:rPr>
        <w:t>2026年1月14</w:t>
      </w:r>
      <w:r>
        <w:rPr>
          <w:rFonts w:hint="eastAsia" w:ascii="宋体" w:hAnsi="宋体" w:cs="宋体"/>
          <w:sz w:val="21"/>
          <w:szCs w:val="21"/>
          <w:lang w:val="en-US" w:eastAsia="zh-CN"/>
        </w:rPr>
        <w:t>日</w:t>
      </w:r>
    </w:p>
    <w:p w14:paraId="34B7E310">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default" w:ascii="宋体" w:hAnsi="宋体" w:eastAsia="宋体" w:cs="宋体"/>
          <w:b/>
          <w:bCs/>
          <w:spacing w:val="6"/>
          <w:sz w:val="21"/>
          <w:szCs w:val="21"/>
          <w:lang w:val="en-US" w:eastAsia="zh-CN"/>
        </w:rPr>
      </w:pPr>
      <w:r>
        <w:rPr>
          <w:rFonts w:hint="eastAsia" w:ascii="宋体" w:hAnsi="宋体" w:eastAsia="宋体" w:cs="宋体"/>
          <w:b/>
          <w:bCs/>
          <w:spacing w:val="6"/>
          <w:sz w:val="21"/>
          <w:szCs w:val="21"/>
          <w:lang w:val="en-US" w:eastAsia="zh-CN"/>
        </w:rPr>
        <w:t>附件9：强制产品认证目录</w:t>
      </w:r>
    </w:p>
    <w:p w14:paraId="5AFAA05B">
      <w:pPr>
        <w:spacing w:before="100" w:beforeAutospacing="1" w:after="100" w:afterAutospacing="1" w:line="360" w:lineRule="auto"/>
        <w:jc w:val="left"/>
        <w:rPr>
          <w:rFonts w:hint="default" w:ascii="宋体" w:hAnsi="宋体" w:eastAsia="宋体" w:cs="宋体"/>
          <w:b/>
          <w:spacing w:val="6"/>
          <w:kern w:val="0"/>
          <w:sz w:val="21"/>
          <w:szCs w:val="21"/>
          <w:lang w:val="en-US" w:eastAsia="zh-CN"/>
        </w:rPr>
      </w:pPr>
      <w:r>
        <w:rPr>
          <w:rFonts w:hint="eastAsia" w:ascii="宋体" w:hAnsi="宋体" w:eastAsia="宋体" w:cs="宋体"/>
          <w:b/>
          <w:spacing w:val="6"/>
          <w:kern w:val="0"/>
          <w:sz w:val="21"/>
          <w:szCs w:val="21"/>
        </w:rPr>
        <w:t>（投标文件无需附此项内容）</w:t>
      </w:r>
    </w:p>
    <w:p w14:paraId="113BE41A">
      <w:pPr>
        <w:rPr>
          <w:lang w:val="zh-CN"/>
        </w:rPr>
      </w:pPr>
    </w:p>
    <w:p w14:paraId="51E7FA4D">
      <w:pPr>
        <w:pStyle w:val="28"/>
        <w:ind w:left="0" w:leftChars="0" w:firstLine="0" w:firstLineChars="0"/>
        <w:jc w:val="center"/>
        <w:rPr>
          <w:lang w:val="zh-CN"/>
        </w:rPr>
        <w:sectPr>
          <w:footerReference r:id="rId10" w:type="first"/>
          <w:footerReference r:id="rId9" w:type="default"/>
          <w:pgSz w:w="11849" w:h="16781"/>
          <w:pgMar w:top="1440" w:right="1080" w:bottom="1440" w:left="1080" w:header="680" w:footer="992" w:gutter="0"/>
          <w:cols w:space="720" w:num="1"/>
          <w:titlePg/>
          <w:docGrid w:linePitch="397" w:charSpace="0"/>
        </w:sectPr>
      </w:pPr>
      <w:r>
        <w:rPr>
          <w:lang w:val="zh-CN"/>
        </w:rPr>
        <w:drawing>
          <wp:inline distT="0" distB="0" distL="114300" distR="114300">
            <wp:extent cx="5836920" cy="7576185"/>
            <wp:effectExtent l="0" t="0" r="11430" b="5715"/>
            <wp:docPr id="12" name="图片 12" descr="提取自提取自市场监管总局关于发布强制性产品认证目录描述与界定表的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提取自提取自市场监管总局关于发布强制性产品认证目录描述与界定表的公告"/>
                    <pic:cNvPicPr>
                      <a:picLocks noChangeAspect="1"/>
                    </pic:cNvPicPr>
                  </pic:nvPicPr>
                  <pic:blipFill>
                    <a:blip r:embed="rId22"/>
                    <a:srcRect t="974" r="-206"/>
                    <a:stretch>
                      <a:fillRect/>
                    </a:stretch>
                  </pic:blipFill>
                  <pic:spPr>
                    <a:xfrm>
                      <a:off x="0" y="0"/>
                      <a:ext cx="5836920" cy="7576185"/>
                    </a:xfrm>
                    <a:prstGeom prst="rect">
                      <a:avLst/>
                    </a:prstGeom>
                  </pic:spPr>
                </pic:pic>
              </a:graphicData>
            </a:graphic>
          </wp:inline>
        </w:drawing>
      </w:r>
      <w:r>
        <w:rPr>
          <w:lang w:val="zh-CN"/>
        </w:rPr>
        <w:drawing>
          <wp:inline distT="0" distB="0" distL="114300" distR="114300">
            <wp:extent cx="6152515" cy="8703310"/>
            <wp:effectExtent l="0" t="0" r="635" b="2540"/>
            <wp:docPr id="13" name="图片 13" descr="提取自市场监管总局关于发布强制性产品认证目录描述与界定表的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提取自市场监管总局关于发布强制性产品认证目录描述与界定表的公告"/>
                    <pic:cNvPicPr>
                      <a:picLocks noChangeAspect="1"/>
                    </pic:cNvPicPr>
                  </pic:nvPicPr>
                  <pic:blipFill>
                    <a:blip r:embed="rId23"/>
                    <a:stretch>
                      <a:fillRect/>
                    </a:stretch>
                  </pic:blipFill>
                  <pic:spPr>
                    <a:xfrm>
                      <a:off x="0" y="0"/>
                      <a:ext cx="6152515" cy="8703310"/>
                    </a:xfrm>
                    <a:prstGeom prst="rect">
                      <a:avLst/>
                    </a:prstGeom>
                  </pic:spPr>
                </pic:pic>
              </a:graphicData>
            </a:graphic>
          </wp:inline>
        </w:drawing>
      </w:r>
      <w:r>
        <w:rPr>
          <w:lang w:val="zh-CN"/>
        </w:rPr>
        <w:drawing>
          <wp:inline distT="0" distB="0" distL="114300" distR="114300">
            <wp:extent cx="6152515" cy="8498840"/>
            <wp:effectExtent l="0" t="0" r="635" b="16510"/>
            <wp:docPr id="14" name="图片 14" descr="提取自市场监管总局关于发布强制性产品认证目录描述与界定表的公告(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提取自市场监管总局关于发布强制性产品认证目录描述与界定表的公告(1)"/>
                    <pic:cNvPicPr>
                      <a:picLocks noChangeAspect="1"/>
                    </pic:cNvPicPr>
                  </pic:nvPicPr>
                  <pic:blipFill>
                    <a:blip r:embed="rId24"/>
                    <a:stretch>
                      <a:fillRect/>
                    </a:stretch>
                  </pic:blipFill>
                  <pic:spPr>
                    <a:xfrm>
                      <a:off x="0" y="0"/>
                      <a:ext cx="6152515" cy="8498840"/>
                    </a:xfrm>
                    <a:prstGeom prst="rect">
                      <a:avLst/>
                    </a:prstGeom>
                  </pic:spPr>
                </pic:pic>
              </a:graphicData>
            </a:graphic>
          </wp:inline>
        </w:drawing>
      </w:r>
    </w:p>
    <w:p w14:paraId="1911333C">
      <w:pPr>
        <w:spacing w:line="360" w:lineRule="auto"/>
        <w:jc w:val="center"/>
        <w:outlineLvl w:val="0"/>
        <w:rPr>
          <w:rFonts w:hint="eastAsia" w:ascii="宋体" w:hAnsi="宋体" w:cs="宋体"/>
          <w:color w:val="FF0000"/>
          <w:sz w:val="21"/>
          <w:szCs w:val="21"/>
        </w:rPr>
      </w:pPr>
      <w:r>
        <w:rPr>
          <w:rFonts w:hint="eastAsia" w:ascii="宋体" w:hAnsi="宋体" w:cs="宋体"/>
          <w:b/>
          <w:bCs/>
          <w:sz w:val="36"/>
          <w:szCs w:val="36"/>
          <w:lang w:val="zh-CN"/>
        </w:rPr>
        <w:t>第五部分 采购内容及技术参数要求</w:t>
      </w:r>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p>
    <w:tbl>
      <w:tblPr>
        <w:tblStyle w:val="30"/>
        <w:tblW w:w="497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4"/>
        <w:gridCol w:w="1781"/>
        <w:gridCol w:w="6045"/>
        <w:gridCol w:w="697"/>
        <w:gridCol w:w="657"/>
      </w:tblGrid>
      <w:tr w14:paraId="4737C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D2D58">
            <w:pPr>
              <w:spacing w:line="360" w:lineRule="auto"/>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序号</w:t>
            </w:r>
          </w:p>
        </w:tc>
        <w:tc>
          <w:tcPr>
            <w:tcW w:w="8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474A1F">
            <w:pPr>
              <w:spacing w:line="360" w:lineRule="auto"/>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产品名称</w:t>
            </w:r>
          </w:p>
        </w:tc>
        <w:tc>
          <w:tcPr>
            <w:tcW w:w="30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BBD0D7">
            <w:pPr>
              <w:spacing w:line="360" w:lineRule="auto"/>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技术参数要求</w:t>
            </w:r>
          </w:p>
        </w:tc>
        <w:tc>
          <w:tcPr>
            <w:tcW w:w="350" w:type="pct"/>
            <w:tcBorders>
              <w:top w:val="single" w:color="000000" w:sz="4" w:space="0"/>
              <w:left w:val="nil"/>
              <w:bottom w:val="single" w:color="000000" w:sz="4" w:space="0"/>
              <w:right w:val="single" w:color="000000" w:sz="4" w:space="0"/>
            </w:tcBorders>
            <w:shd w:val="clear" w:color="auto" w:fill="auto"/>
            <w:noWrap/>
            <w:vAlign w:val="center"/>
          </w:tcPr>
          <w:p w14:paraId="7D1C93F5">
            <w:pPr>
              <w:spacing w:line="360" w:lineRule="auto"/>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数量</w:t>
            </w: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566DA">
            <w:pPr>
              <w:spacing w:line="360" w:lineRule="auto"/>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单位</w:t>
            </w:r>
          </w:p>
        </w:tc>
      </w:tr>
      <w:tr w14:paraId="23F94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1558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A6E56">
            <w:pPr>
              <w:keepNext w:val="0"/>
              <w:keepLines w:val="0"/>
              <w:widowControl/>
              <w:suppressLineNumbers w:val="0"/>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心理健康大数据云平台（含15个</w:t>
            </w:r>
          </w:p>
          <w:p w14:paraId="67621791">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学校端口）</w:t>
            </w:r>
            <w:r>
              <w:rPr>
                <w:rFonts w:hint="eastAsia" w:ascii="宋体" w:hAnsi="宋体" w:cs="宋体"/>
                <w:b/>
                <w:bCs/>
                <w:i w:val="0"/>
                <w:iCs w:val="0"/>
                <w:color w:val="auto"/>
                <w:kern w:val="0"/>
                <w:sz w:val="21"/>
                <w:szCs w:val="21"/>
                <w:highlight w:val="none"/>
                <w:u w:val="none"/>
                <w:lang w:val="en-US" w:eastAsia="zh-CN" w:bidi="ar"/>
              </w:rPr>
              <w:t>（此项为本项目核心产品）</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0AC3D">
            <w:pPr>
              <w:keepNext w:val="0"/>
              <w:keepLines w:val="0"/>
              <w:widowControl/>
              <w:numPr>
                <w:ilvl w:val="0"/>
                <w:numId w:val="0"/>
              </w:numPr>
              <w:suppressLineNumbers w:val="0"/>
              <w:spacing w:line="36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一、</w:t>
            </w:r>
            <w:r>
              <w:rPr>
                <w:rFonts w:hint="eastAsia" w:ascii="宋体" w:hAnsi="宋体" w:eastAsia="宋体" w:cs="宋体"/>
                <w:i w:val="0"/>
                <w:iCs w:val="0"/>
                <w:color w:val="auto"/>
                <w:kern w:val="0"/>
                <w:sz w:val="21"/>
                <w:szCs w:val="21"/>
                <w:highlight w:val="none"/>
                <w:u w:val="none"/>
                <w:lang w:val="en-US" w:eastAsia="zh-CN" w:bidi="ar"/>
              </w:rPr>
              <w:t>技术描述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（一）系统架构：系统采用B/S架构。浏览器+应用服务器+数据库的多架构运行模式，能够兼容在不同的操作系统上运行，支持庞大用户量和数据量。客户端无需安装，支持Chrome、Firefox、Microsoft Edge、IE10以上和360等主流浏览器。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二）数据库：（1）可以适合大容量数据的应用，并具备开发的灵活性、可扩展性、可以用存储过程、函数等方面强大功能。数据库具有很好的伸缩性，可跨越多种平台使用，对Web技术的支持，使用户能够很容易地将数据库中的数据发布到Web页面上；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（2）系统采用统一的基础数据库管理模式，各种基础数据如组织机构信息、用户信息等被采集到基础数据中心，保持数据实时同步，可为现有及后续的各应用系统提供的数据基础。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（三）系统部署：需支持分布式均衡负载、多级节点部署，用户按需接入服务。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（四）网络部署：可根据需要部署于互联网或局域网，具有较高灵活度。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（五）数据安全：通过 TLS 协议加密 https 页面传送的数据，防止在交换资料时受到窃听及篡改，保证网页访问的私密性。（提供有此功能的检测报告）</w:t>
            </w:r>
          </w:p>
          <w:p w14:paraId="312255C2">
            <w:pPr>
              <w:keepNext w:val="0"/>
              <w:keepLines w:val="0"/>
              <w:widowControl/>
              <w:numPr>
                <w:ilvl w:val="0"/>
                <w:numId w:val="0"/>
              </w:numPr>
              <w:suppressLineNumbers w:val="0"/>
              <w:spacing w:line="36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六）数据安全：系统进行用户标识和鉴别，每次用户要求进入系统时，由系统进行核对，通过鉴定后才提供系统的使用权；系统采用存取控制，所有未被授权的人员无法存取数据；系统采用视图机制，为不同的用户定义视图，通过视图机制把要保密的数据对无权存取的用户隐藏起来，从而自动地对数据提供一定程度的安全保护；系统使用数据加密，使用MD5加密算法，单向加密，不同的输入对应的输出一定不同，保证唯一性，有效防止数据被篡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二、系统层级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（一）多级平台：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支持按照省、市、县（区）的级别来搭建教育局、学校等多层级平台，以教育厅/局为主导，各子群机构可以自行开展心理健康工作，厅/局管理员可以监督、查看各下级机构的心理健康工作开展情况。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（二）多通道登录：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云平台设置教育局管理员、教育工作人员、心理老师、学校管理员、教师、学生以及家长等用户的多通道登录方式，系统可根据登录用户的群体，自动选择匹配通道进入云平台系统，同时心理云平台会识别登陆用户身份，进行有选择的信息展示。</w:t>
            </w:r>
          </w:p>
          <w:p w14:paraId="607FF108">
            <w:pPr>
              <w:keepNext w:val="0"/>
              <w:keepLines w:val="0"/>
              <w:widowControl/>
              <w:numPr>
                <w:ilvl w:val="0"/>
                <w:numId w:val="0"/>
              </w:numPr>
              <w:suppressLineNumbers w:val="0"/>
              <w:spacing w:line="36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三、</w:t>
            </w:r>
            <w:r>
              <w:rPr>
                <w:rFonts w:hint="eastAsia" w:ascii="宋体" w:hAnsi="宋体" w:eastAsia="宋体" w:cs="宋体"/>
                <w:i w:val="0"/>
                <w:iCs w:val="0"/>
                <w:color w:val="auto"/>
                <w:kern w:val="0"/>
                <w:sz w:val="21"/>
                <w:szCs w:val="21"/>
                <w:highlight w:val="none"/>
                <w:u w:val="none"/>
                <w:lang w:val="en-US" w:eastAsia="zh-CN" w:bidi="ar"/>
              </w:rPr>
              <w:t>功能介绍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（一）网站信息展示及管理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1、系统拥有中心介绍、活动展示、通知公告、心理咨询师、频道分类等多类心理信息展示模块，可通过资源共享为用户提供音乐、视频、图片、文档等资源。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2、管理员可以查看文章的标题、浏览次数、点赞量、展示图片等信息，可以对各类展示信息做添加、编辑和删除的操作，并可以对老师、学生和家长上传的文章进行审核。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3、管理员可以管理图片、文档、视频/音频等资源，支持进行添加、编辑和删除操作。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（二）普通用户管理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1、学校管理员可批量添加教师、学生、家长账号；并支持按姓名、年龄等进行筛查搜索。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2、管理员可新增心理老师账号，支持对账号进行批量删除操作。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3、机构最高管理员可以为下属管理员和心理老师，分配管理平台中不同模块的使用权限，严格遵循权限收敛规则，各身份主体仅可访问权责范围内模块，实现分级分权、数据隔离安全管控。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（三）自动升学管理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1、学校管理员可以添加自动升学计划，设置计划的生效日期和年级，支持选择本校升学、升学离校、高三毕业三种不同的升学类型。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2、学校管理员可查看已添加的升学记录详情，支持对已添加的升学计划进行启动和关闭的操作。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3、添加的每条升学计划，都会记录下操作用户和操作时间，后期溯源。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（四）离校和学生分配管理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1、离校类型包括休学、转校、离校升学三种；学校管理员可以对学生进行批量的休学和转校操作；离校学生会移动到上级教育局的特定区域。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2、教育局管理员可对休学、转校和升学（离校）的学生进行自主分配；待目标学校接收分配后，这些学生会自动转移到目标学校。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3、学校管理员可以自主获取转学或升学的学生，通过上传包含学生信息的模板，与上级教育局中存在的休学、转校和升学（离校）的学生进行核对，将核对成功的学生加入该校。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4、学生的每一次离校的转入转出，都会在学校和教育局中留下转移记录；教育局管理员可查看管辖区域内的休学、转校、升学离校的学生转移记录，包括账号、姓名、来源学校、转入时间以及接收状态等。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（五）智能账号切换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1、系统识别到工作人员、家长、教师和心理老师的账号具有相同的唯一信息后，系统智能识别匹配，将同一个人的多个不同账号自动关联。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2、仅需登录关联中的任一账号，即可在不同账号之间切换。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3、支持在个人中心可查阅关联状态，包括账号名称、账号姓名、所属机构等。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4、用户可在个人中心自主取消已关联账号，支持通过输入账号、密码、所属等关键信息自主添加管理账号。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5、教育局管理员可通过账号名、用户名、角色类型、关联状态，筛选下级机构的账号关联记录。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（六）重点关注用户管理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1、支持通过账号、姓名、昵称筛选用户，可查看用户的心理状况，包括量表测试记录、心理咨询记录、心理器械等内容；支持对异常用户进行重点关注标记。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2、支持查看重点关注用户的账号、姓名、昵称、性别、上报状态以及心理状况。 </w:t>
            </w:r>
          </w:p>
          <w:p w14:paraId="61A9054E">
            <w:pPr>
              <w:keepNext w:val="0"/>
              <w:keepLines w:val="0"/>
              <w:widowControl/>
              <w:numPr>
                <w:ilvl w:val="0"/>
                <w:numId w:val="0"/>
              </w:numPr>
              <w:suppressLineNumbers w:val="0"/>
              <w:spacing w:line="36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四、云平台-心理器械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云平台采用多层架构模式，为整个系统中所有软件、硬件的数据整合和数据分析预留接入端口，可连接多类专业心理器械（模块），并具备心理测试模块。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（一）心理测试平台及管理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1、专业量表测试：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（1）系统内包含心理健康、情绪、学习、智力、人格、社交、生活、职业兴趣测评等不少于95种专业心理量表供用户选择。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（2）满足几千人同时在线测评，可自定义测试人群，并能智能检测用户是否符合测试条件。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必配量表中涵盖世界十大经典量表如：SCL-90、贝克焦虑量表BAI、明尼苏达多项个性测验（MMPI）以及简易版、焦虑自评量表SAS、社会适应性测试、16PF、艾森克人格问卷成人式(EPQA)、瑞文标准推理测验等；选配量表中配备行业内具有针对性的特色量表。如UCLA孤独量表、交往焦虑量表、威廉斯创造力倾向测验、简明精神病量表、中学生升学就业指导测试、考试焦虑自我检查表、贝克绝望量表、自杀态度问卷、老年抑郁量表（GDS）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（4）软件配置特殊量表，系统可以随机生成划消数字量表，可自主设置需要划消的数字以及随机数字的个数。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2、测试方案管理：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（1）管理员可以根据需要配置不同的心理测试方案，例如新生入学心理测试、年度心理普查、毕业生心理测试等，测试范围支持选择班级、年级或全校，满足不同测评需求。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（2）方案可设置发布状态、有效时间、量表清单、所属等，支持启用和停用状态的切换，满足心理老师针对不同用户心理测试，制定不同心理测试方案的需要。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3、危机评估干预：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系统智能将心理危机进行一级预警、二级预警、三级预警、其他预警、正常、无需预警的六种，并用红、橙、蓝、灰、绿、黑六种颜色显示，方便根据预警级别开展有针对性的心理辅导，帮助做好危机干预工作。（提供有此功能的检测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（2）系统内对预警等级划分有详细的说明解释，方便用户自行查看，让用户更好理解与掌握预警级别。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（3）危机评估管理：用户选择量表后，可以根据用户名、年龄段、预警等级、所属信息进一步筛选数据，可以一键进行危机预警数据统计；统计结果支持文档导出，咨询师快速了解来访者的心理状态。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4、心理咨询管理：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（1）心理老师排班设置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支持按照用户名搜索咨询师，并可以添加、修改、删除咨询师信息。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支持设置排班时间，并可以精细调整上午或下午的值班时间段。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排班时可以查看咨询师的姓名、专业、擅长、年龄、性别等详细信息。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（2）咨询预约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用户可查看值班心理老师的姓名、擅长方向、级别等信息，支持用户自主选择进行留言操作；用户需填写症状表现、预约时间、姓名、性别、年龄、民族、联系方式、咨询内容等信息。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管理员可对前台的心理预约情况进行管理，支持通过用户名、症状类型、预约时间段等筛选预约数据；可快速查看用户的预约状态，并支持预约删除操作。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管理可查看包括用户名、性别、联系方式、预约时间、预约内容、预约状态、预约咨询师、会诊结果等详细数据；心理老师可对预约状况进行快速入档。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（3）咨询留言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用户可查看值班心理老师的姓名、擅长方向、级别等信息，支持用户自主选择进行留言操作。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可快速查看用户的预约状态，并支持预约删除操作。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心理老师可在个人中心对留言进行快速回复，搭配app使用更加高效。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（二）更多心理器械平台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管理员可以根据应用情况，选择是否申请接入音乐放松训练系统、身心反馈训练系统、智能脑波情绪调节系统、心灵小屋系统、电子心理涂鸦系统、箱庭管理系统、Vr虚拟现实心理训练系统、团体辅导管理系统，体感音波催眠系统等软硬件系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2、管理员对心理器械的名称、设备图片、设备简介、设备详情、数量、预约时间与预约时长进行编辑。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3、管理员可以查看心理器械的预约情况与使用统计。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4、工作人员、学生等用户可以查看心理器械的简介、体验人数、体验次数等信息，并可以根据实际需求预约体验心理设备。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★供应商或授权厂家需提供信息安全管理体系认证证书，认证内容包括：心理测试软、硬件研发及运维所涉及的信息安全管理活动。</w:t>
            </w:r>
          </w:p>
          <w:p w14:paraId="3FABD239">
            <w:pPr>
              <w:keepNext w:val="0"/>
              <w:keepLines w:val="0"/>
              <w:widowControl/>
              <w:numPr>
                <w:ilvl w:val="0"/>
                <w:numId w:val="0"/>
              </w:numPr>
              <w:suppressLineNumbers w:val="0"/>
              <w:spacing w:line="36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为保证心理健康数据的安全性，心理健康数据为专业且隐私数据，为保证数据的安全性，心理健康大数据云平台需具有三级登保证书，供应商或授权厂家须提供《网络信息安全等级保护备案证书》,《网络信息安全等级保护测评报告》证书。</w:t>
            </w:r>
          </w:p>
          <w:p w14:paraId="42079880">
            <w:pPr>
              <w:pStyle w:val="28"/>
              <w:spacing w:line="360" w:lineRule="auto"/>
              <w:ind w:left="0" w:leftChars="0" w:firstLine="0" w:firstLineChars="0"/>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注：中标人需终身免费提供心理健康大数据云平台全部系统升级与安全运维服务，全权承担云平台及采购人全部心理业务数据安全保障责任；发生不可抗力致平台停运时须即时对接采购人做好数据防护，采购人提出本地私有化部署需求时，中标人无偿协助完成系统与完整数据安全移交。</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FD4C9">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6ABB7">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12C1B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8"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61BC3">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ED5B8">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沙盘设备</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334E1">
            <w:pPr>
              <w:keepNext w:val="0"/>
              <w:keepLines w:val="0"/>
              <w:widowControl/>
              <w:suppressLineNumbers w:val="0"/>
              <w:spacing w:line="36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一、设备参数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（一）沙具架：沙具陈列架一个，材质为杉木原木。尺寸：</w:t>
            </w:r>
            <w:r>
              <w:rPr>
                <w:rFonts w:hint="eastAsia" w:ascii="宋体" w:hAnsi="宋体" w:cs="宋体"/>
                <w:i w:val="0"/>
                <w:iCs w:val="0"/>
                <w:color w:val="auto"/>
                <w:kern w:val="0"/>
                <w:sz w:val="21"/>
                <w:szCs w:val="21"/>
                <w:highlight w:val="none"/>
                <w:u w:val="none"/>
                <w:lang w:val="en-US" w:eastAsia="zh-CN" w:bidi="ar"/>
              </w:rPr>
              <w:t>不小于</w:t>
            </w:r>
            <w:r>
              <w:rPr>
                <w:rFonts w:hint="eastAsia" w:ascii="宋体" w:hAnsi="宋体" w:eastAsia="宋体" w:cs="宋体"/>
                <w:i w:val="0"/>
                <w:iCs w:val="0"/>
                <w:color w:val="auto"/>
                <w:kern w:val="0"/>
                <w:sz w:val="21"/>
                <w:szCs w:val="21"/>
                <w:highlight w:val="none"/>
                <w:u w:val="none"/>
                <w:lang w:val="en-US" w:eastAsia="zh-CN" w:bidi="ar"/>
              </w:rPr>
              <w:t>宽80cm×高140 cm×深30cm，5层9阶设计，木质原木本色，清漆涂层。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（二）沙箱：标准个体沙箱一个，材质为杉木原木。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个体沙箱按照国际标准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尺寸：</w:t>
            </w:r>
            <w:r>
              <w:rPr>
                <w:rFonts w:hint="eastAsia" w:ascii="宋体" w:hAnsi="宋体" w:cs="宋体"/>
                <w:i w:val="0"/>
                <w:iCs w:val="0"/>
                <w:color w:val="auto"/>
                <w:kern w:val="0"/>
                <w:sz w:val="21"/>
                <w:szCs w:val="21"/>
                <w:highlight w:val="none"/>
                <w:u w:val="none"/>
                <w:lang w:val="en-US" w:eastAsia="zh-CN" w:bidi="ar"/>
              </w:rPr>
              <w:t>不小于</w:t>
            </w:r>
            <w:r>
              <w:rPr>
                <w:rFonts w:hint="eastAsia" w:ascii="宋体" w:hAnsi="宋体" w:eastAsia="宋体" w:cs="宋体"/>
                <w:i w:val="0"/>
                <w:iCs w:val="0"/>
                <w:color w:val="auto"/>
                <w:kern w:val="0"/>
                <w:sz w:val="21"/>
                <w:szCs w:val="21"/>
                <w:highlight w:val="none"/>
                <w:u w:val="none"/>
                <w:lang w:val="en-US" w:eastAsia="zh-CN" w:bidi="ar"/>
              </w:rPr>
              <w:t>57*72*7cm；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颜色：外侧原木本色，内侧为天蓝色。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（三）沙箱腿：整体为整条方木原木制作结构，材质为木质原木制作。高度50－60cm正好适合于手放置沙具的位置。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（四）沙具：500个，沙具为树脂、陶瓷、聚氨脂材料制造。包含18大类别，人物包含神话人物、动漫人物、科幻人物、职业人物、偶像人物、恐怖人物</w:t>
            </w:r>
            <w:r>
              <w:rPr>
                <w:rFonts w:hint="eastAsia" w:ascii="宋体" w:hAnsi="宋体" w:cs="宋体"/>
                <w:i w:val="0"/>
                <w:iCs w:val="0"/>
                <w:color w:val="auto"/>
                <w:kern w:val="0"/>
                <w:sz w:val="21"/>
                <w:szCs w:val="21"/>
                <w:highlight w:val="none"/>
                <w:u w:val="none"/>
                <w:lang w:val="en-US" w:eastAsia="zh-CN" w:bidi="ar"/>
              </w:rPr>
              <w:t>、卡通人物（</w:t>
            </w:r>
            <w:r>
              <w:rPr>
                <w:rFonts w:hint="eastAsia" w:ascii="宋体" w:hAnsi="宋体" w:eastAsia="宋体" w:cs="宋体"/>
                <w:i w:val="0"/>
                <w:iCs w:val="0"/>
                <w:color w:val="auto"/>
                <w:kern w:val="0"/>
                <w:sz w:val="21"/>
                <w:szCs w:val="21"/>
                <w:highlight w:val="none"/>
                <w:u w:val="none"/>
                <w:lang w:val="en-US" w:eastAsia="zh-CN" w:bidi="ar"/>
              </w:rPr>
              <w:t>太阳人</w:t>
            </w:r>
            <w:r>
              <w:rPr>
                <w:rFonts w:hint="eastAsia" w:ascii="宋体" w:hAnsi="宋体" w:cs="宋体"/>
                <w:i w:val="0"/>
                <w:iCs w:val="0"/>
                <w:color w:val="auto"/>
                <w:kern w:val="0"/>
                <w:sz w:val="21"/>
                <w:szCs w:val="21"/>
                <w:highlight w:val="none"/>
                <w:u w:val="none"/>
                <w:lang w:val="en-US" w:eastAsia="zh-CN" w:bidi="ar"/>
              </w:rPr>
              <w:t>、白雪公主等）</w:t>
            </w:r>
            <w:r>
              <w:rPr>
                <w:rFonts w:hint="eastAsia" w:ascii="宋体" w:hAnsi="宋体" w:eastAsia="宋体" w:cs="宋体"/>
                <w:i w:val="0"/>
                <w:iCs w:val="0"/>
                <w:color w:val="auto"/>
                <w:kern w:val="0"/>
                <w:sz w:val="21"/>
                <w:szCs w:val="21"/>
                <w:highlight w:val="none"/>
                <w:u w:val="none"/>
                <w:lang w:val="en-US" w:eastAsia="zh-CN" w:bidi="ar"/>
              </w:rPr>
              <w:t>等系列；交通工具包含豪车、飞机、消防、公安、工程、公交、军事系列；动物包含海洋动物、爬行动物、两栖动物、动漫动物、恐龙</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小蜜蜂等系列；植物包含花、草、树、果实、蔬菜等系列；建筑物包含桥、道路、网吧、公安局、医院、厕所、草房、洋房、别墅等系列；食品类包括包子、馒头、花卷、面包等系列；家居包含手机、各种家具、家用电器、生活用品系列；鸡鸭等家禽类；妈祖、大肚佛等宗教类；意象类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（五）海沙： 10公斤，80--100#天然黄色细沙；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★所投产品沙具-太阳人，沙具-小蜜蜂，须具有CMA标志的甲醛检测报告。</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6153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5E43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78D1E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6FFC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4AAAD">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音乐放松椅</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39EF6">
            <w:pPr>
              <w:keepNext w:val="0"/>
              <w:keepLines w:val="0"/>
              <w:widowControl/>
              <w:numPr>
                <w:ilvl w:val="0"/>
                <w:numId w:val="3"/>
              </w:numPr>
              <w:suppressLineNumbers w:val="0"/>
              <w:spacing w:line="36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放松椅外皮为耐水解pu皮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二、放松椅可以实现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颈/臀/腰/腿/背-8D灵动按摩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臀/腿-气囊按摩、热敷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两种模式/力度调节/定时设定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按键手控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零重升降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背部热敷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臀部震动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尺寸：</w:t>
            </w:r>
            <w:r>
              <w:rPr>
                <w:rFonts w:hint="eastAsia" w:ascii="宋体" w:hAnsi="宋体" w:cs="宋体"/>
                <w:i w:val="0"/>
                <w:iCs w:val="0"/>
                <w:color w:val="auto"/>
                <w:kern w:val="0"/>
                <w:sz w:val="21"/>
                <w:szCs w:val="21"/>
                <w:highlight w:val="none"/>
                <w:u w:val="none"/>
                <w:lang w:val="en-US" w:eastAsia="zh-CN" w:bidi="ar"/>
              </w:rPr>
              <w:t>不小于</w:t>
            </w:r>
            <w:r>
              <w:rPr>
                <w:rFonts w:hint="eastAsia" w:ascii="宋体" w:hAnsi="宋体" w:eastAsia="宋体" w:cs="宋体"/>
                <w:i w:val="0"/>
                <w:iCs w:val="0"/>
                <w:color w:val="auto"/>
                <w:kern w:val="0"/>
                <w:sz w:val="21"/>
                <w:szCs w:val="21"/>
                <w:highlight w:val="none"/>
                <w:u w:val="none"/>
                <w:lang w:val="en-US" w:eastAsia="zh-CN" w:bidi="ar"/>
              </w:rPr>
              <w:t>(长153*宽60*高100cm）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HIFI蓝牙音乐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220V安全电压设计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三、音乐放松系统：专业减压、放松、催眠系列音乐包。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四、播音系统：内置高品质音响。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五、立式支架。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六、平板，安卓操作系统；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内存：不少于8GB，CPU双核；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存储空间：60G以上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接口：typec接口、3.5mm 耳机接口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10寸电容全触屏</w:t>
            </w:r>
          </w:p>
          <w:p w14:paraId="3D455794">
            <w:pPr>
              <w:keepNext w:val="0"/>
              <w:keepLines w:val="0"/>
              <w:widowControl/>
              <w:numPr>
                <w:ilvl w:val="0"/>
                <w:numId w:val="0"/>
              </w:numPr>
              <w:suppressLineNumbers w:val="0"/>
              <w:spacing w:line="360" w:lineRule="auto"/>
              <w:jc w:val="both"/>
              <w:textAlignment w:val="center"/>
              <w:rPr>
                <w:rFonts w:hint="default" w:ascii="宋体" w:hAnsi="宋体" w:eastAsia="仿宋_GB2312"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此软件需预留接口，对接心理健康大数据云平台，实现无缝数据对接、汇总</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A7D8D">
            <w:pPr>
              <w:keepNext w:val="0"/>
              <w:keepLines w:val="0"/>
              <w:widowControl/>
              <w:suppressLineNumbers w:val="0"/>
              <w:spacing w:line="360"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14</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E5A22">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3ED73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D9647">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B6983">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宣泄人</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1E226">
            <w:pPr>
              <w:keepNext w:val="0"/>
              <w:keepLines w:val="0"/>
              <w:widowControl/>
              <w:suppressLineNumbers w:val="0"/>
              <w:spacing w:line="36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一、宣泄人1个，仿真人形状，不少于170cm高度，防爆裂加厚皮质，击打时柔软舒适，减震结构合理，缓震区域大，多击打面，柔性回弹，超稳底座，底座注水或注水。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二、宣泄面具2个，多表情面具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三、护手套1副：环保材料制作，能保护发泄者手避免受伤。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四、释压球1个：橡胶材质,充气使用,回弹性好,可坐和摔打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五、宣泄挂图：2幅，宣泄挂图是由一组踢、打、拳击等不同宣泄动作的场景图片组成，尺寸为45*45cm。写真纸材料，厚度为120g/平方，背面有透明膜背胶，撕下即可粘贴。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六、惨叫鸡1个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七、呐喊壶1个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八、减压乐2个</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5F432">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DF5AD">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49391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8290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FE57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智能呐喊宣泄系统</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B2980">
            <w:pPr>
              <w:keepNext w:val="0"/>
              <w:keepLines w:val="0"/>
              <w:widowControl/>
              <w:numPr>
                <w:ilvl w:val="0"/>
                <w:numId w:val="4"/>
              </w:numPr>
              <w:suppressLineNumbers w:val="0"/>
              <w:spacing w:line="36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硬件参数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（一）宣泄机柜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1、呐喊机柜尺寸：</w:t>
            </w:r>
            <w:r>
              <w:rPr>
                <w:rFonts w:hint="eastAsia" w:ascii="宋体" w:hAnsi="宋体" w:cs="宋体"/>
                <w:i w:val="0"/>
                <w:iCs w:val="0"/>
                <w:color w:val="auto"/>
                <w:kern w:val="0"/>
                <w:sz w:val="21"/>
                <w:szCs w:val="21"/>
                <w:highlight w:val="none"/>
                <w:u w:val="none"/>
                <w:lang w:val="en-US" w:eastAsia="zh-CN" w:bidi="ar"/>
              </w:rPr>
              <w:t>不小于</w:t>
            </w:r>
            <w:r>
              <w:rPr>
                <w:rFonts w:hint="eastAsia" w:ascii="宋体" w:hAnsi="宋体" w:eastAsia="宋体" w:cs="宋体"/>
                <w:i w:val="0"/>
                <w:iCs w:val="0"/>
                <w:color w:val="auto"/>
                <w:kern w:val="0"/>
                <w:sz w:val="21"/>
                <w:szCs w:val="21"/>
                <w:highlight w:val="none"/>
                <w:u w:val="none"/>
                <w:lang w:val="en-US" w:eastAsia="zh-CN" w:bidi="ar"/>
              </w:rPr>
              <w:t>约高193cm×宽87cm(底座)×深40cm；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机柜顶部为一外置木质音箱，尺寸约为450*150*150mm，频率范围51HZ-19.5KH，灵敏度87db±2.5db，音质嘹亮；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机柜整体为蓝色渐变的亚克力面板装饰，整体外形美观、大气。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2、最大呐喊分贝为：300分贝。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3、LED灯应等级：10级显示。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4、LED光源控制：电路+芯片控制，两边为红色灯光柱状显示，中间为心理能量点状播散图组成，让训练者实时观测自我宣泄的效果。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（二）智能呐喊宣泄系统操作台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1、尺寸：</w:t>
            </w:r>
            <w:r>
              <w:rPr>
                <w:rFonts w:hint="eastAsia" w:ascii="宋体" w:hAnsi="宋体" w:cs="宋体"/>
                <w:i w:val="0"/>
                <w:iCs w:val="0"/>
                <w:color w:val="auto"/>
                <w:kern w:val="0"/>
                <w:sz w:val="21"/>
                <w:szCs w:val="21"/>
                <w:highlight w:val="none"/>
                <w:u w:val="none"/>
                <w:lang w:val="en-US" w:eastAsia="zh-CN" w:bidi="ar"/>
              </w:rPr>
              <w:t>不小于</w:t>
            </w:r>
            <w:r>
              <w:rPr>
                <w:rFonts w:hint="eastAsia" w:ascii="宋体" w:hAnsi="宋体" w:eastAsia="宋体" w:cs="宋体"/>
                <w:i w:val="0"/>
                <w:iCs w:val="0"/>
                <w:color w:val="auto"/>
                <w:kern w:val="0"/>
                <w:sz w:val="21"/>
                <w:szCs w:val="21"/>
                <w:highlight w:val="none"/>
                <w:u w:val="none"/>
                <w:lang w:val="en-US" w:eastAsia="zh-CN" w:bidi="ar"/>
              </w:rPr>
              <w:t>高120cm×长41cm×宽35cm。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2、整体为红色与白色环保ABS材料搭配而成，一次成模。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3、四个高度不少于5cm的高品质环保塑胶滚轮，方便移动。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4、主机触摸屏尺寸为17吋，win10及以上电脑操作系统。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（三）数据传输控制盒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内置高灵敏度电路板，用于接收、分析、传输信号数值。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二、功能特点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系统涵盖模式选择、资源共享、查看报告、用户管理、自由宣泄、系统设置等模块，支持用户登录和一键游客登录两种模式进入系统。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（一）模式选择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1、包含人际关系、学习压力、考试压力、新环境压力、婚姻压力、父母压力、工作压力、分离压力八大主题，使用者可以通过系统选择符合自己情绪的呐喊宣泄主题进行单次训练或者多次训练。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2、每个主题设置相匹配的音乐以及正向引导语，帮助用户针对性的宣泄情绪，重拾信心。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3、系统智能分析用户的宣泄数值，判断出其情绪宣泄的程度，进而有针对性的进行智能化的正向语音引导、激励。</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4、用户在宣泄过程中，可以通过即时的数字展现、图形变化及光影反馈，感受到强烈的视觉效果，拥有完美的用户体验。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（二）资源共享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此模块包含音乐、视频和文章知识等资源，以便更好地完善宣泄环境。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1、音乐包含不同类型的放松音乐供用户选择，以满足用户的不同种类需求。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2、内置真人放松引导视频，包含真实感受训练法、意念式呼吸法和按摩式呼吸法，帮助用户缓解压力和焦虑，促进身心健康。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3、文章资源内置儿童心理学、人格心理学等知识内容，帮助用户了解专业的心理学知识，以便使用单位更好地开展心理健康工作。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（三）资源管理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此模块具有音频管理，视频管理，资料管理功能，可自定义添加音乐、视频和文章知识等资源，并且可以修改删除等操作。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1、可自定义导入不同类型音频，以满足用户的不同种类需求。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2、可自定义导入视频，帮助用户缓解压力和焦虑，促进身心健康。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3、可自定义导入专业知识内容，帮助用户了解专业的心理学知识，以便使用单位更好地开展心理健康工作。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（四）查看报告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1、系统自动生成宣泄报告，报告含有基本信息、呐喊波形、均值、最大值、最小值、评价等内容，管理员可查看、导出所用用户的测试信息，以便对比分析数据。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2、具有智能评价功能，可根据用户的宣泄数据，针对性的生成评语及建议，帮助用户更好的释放压力，摆脱焦虑、抑郁等负面情绪。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（五）用户管理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1、用户账号管理：管理员可以对注册用户的用户名、性别、年龄等信息进行编辑、统一管理，支持按照用户名筛选数据，方便查询用户信息。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2、账号信息修改：为了方便用户信息管理，管理员用户具有管理所有用户账号信息的权限，可对账号的密码及其他信息进行修改，防止因用户遗忘密码无法登录的问题发生。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（六）自由宣泄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1、自由宣泄可以让训练者自主选择单次/多次功能。单次呐喊可以有波形展示，多次呐喊可以同时直观观察到多次柱形呈现，不管是单次或多次呐喊都可以实时显示呐喊宣泄数值，一目了然。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2、系统智能分析用户的宣泄数值，判断出其情绪宣泄的程度，根据不同宣泄的程度进行智能化的正向语音引导、激励。</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（七）系统设置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可对系统内的组织架构进行修改、新增、删除等操作。</w:t>
            </w:r>
          </w:p>
          <w:p w14:paraId="3E377BE6">
            <w:pPr>
              <w:keepNext w:val="0"/>
              <w:keepLines w:val="0"/>
              <w:widowControl/>
              <w:numPr>
                <w:ilvl w:val="0"/>
                <w:numId w:val="0"/>
              </w:numPr>
              <w:suppressLineNumbers w:val="0"/>
              <w:spacing w:line="36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此软件需预留接口，对接心理健康大数据云平台，实现无缝数据对接、汇总</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EDA5E">
            <w:pPr>
              <w:keepNext w:val="0"/>
              <w:keepLines w:val="0"/>
              <w:widowControl/>
              <w:suppressLineNumbers w:val="0"/>
              <w:spacing w:line="360"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14</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B394D">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12128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7F1BF">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3F255">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多维心理能力训练系统</w:t>
            </w:r>
            <w:r>
              <w:rPr>
                <w:rFonts w:hint="eastAsia" w:ascii="宋体" w:hAnsi="宋体" w:cs="宋体"/>
                <w:b/>
                <w:bCs/>
                <w:i w:val="0"/>
                <w:iCs w:val="0"/>
                <w:color w:val="auto"/>
                <w:kern w:val="0"/>
                <w:sz w:val="21"/>
                <w:szCs w:val="21"/>
                <w:highlight w:val="none"/>
                <w:u w:val="none"/>
                <w:lang w:val="en-US" w:eastAsia="zh-CN" w:bidi="ar"/>
              </w:rPr>
              <w:t>（此项为本项目核心产品）</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2EE4B">
            <w:pPr>
              <w:keepNext w:val="0"/>
              <w:keepLines w:val="0"/>
              <w:widowControl/>
              <w:numPr>
                <w:ilvl w:val="0"/>
                <w:numId w:val="5"/>
              </w:numPr>
              <w:suppressLineNumbers w:val="0"/>
              <w:spacing w:line="36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硬件配置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（一）手提便携式铝箱1个，尺寸：</w:t>
            </w:r>
            <w:r>
              <w:rPr>
                <w:rFonts w:hint="eastAsia" w:ascii="宋体" w:hAnsi="宋体" w:cs="宋体"/>
                <w:i w:val="0"/>
                <w:iCs w:val="0"/>
                <w:color w:val="auto"/>
                <w:kern w:val="0"/>
                <w:sz w:val="21"/>
                <w:szCs w:val="21"/>
                <w:highlight w:val="none"/>
                <w:u w:val="none"/>
                <w:lang w:val="en-US" w:eastAsia="zh-CN" w:bidi="ar"/>
              </w:rPr>
              <w:t>不小于</w:t>
            </w:r>
            <w:r>
              <w:rPr>
                <w:rFonts w:hint="eastAsia" w:ascii="宋体" w:hAnsi="宋体" w:eastAsia="宋体" w:cs="宋体"/>
                <w:i w:val="0"/>
                <w:iCs w:val="0"/>
                <w:color w:val="auto"/>
                <w:kern w:val="0"/>
                <w:sz w:val="21"/>
                <w:szCs w:val="21"/>
                <w:highlight w:val="none"/>
                <w:u w:val="none"/>
                <w:lang w:val="en-US" w:eastAsia="zh-CN" w:bidi="ar"/>
              </w:rPr>
              <w:t>30*20*15.5cm。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（二）脑电波采集器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1、智能脑波采集器呈扁圆形，整体削切技术与包围式设计，由整体开模的采集器和断开按摩头组成，支持不同人群不同头围形状佩戴使用。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2、采集器整体使用蓝黑配色，其中耳夹处用黑色信号线连接黑色耳夹。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脑波采集位置：前额（FP1）,采集点尺寸为9mm*9 mm圆形不锈钢采集点，不少于3个采集点。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3、脑波设备可输出原始脑电波数据；数据输出频率为512Hz，并可输出δ、θ、α、β、γ等8个EEG频段数据。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4、配备锂电池不少于500mh容量。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5、前额切削式设计，有三色灯显示，可以显示出不同颜色，分别代表训练状态良好/连接成功、脑波断开连接 、训练效果不佳三种状态。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（三）系统搭载硬件。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1、系统：Windows7以上；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2、内存：不小于8GB，CPU双核；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3、硬盘:不小于64G；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4、支持360度重力感应；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（四）10寸电容全触屏1部。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二、软件管理系统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本产品安装简便，易操作，可实时反馈。本系统由用户管理和所属管理、数据中心、能力提升几大模块组成，可以实时监测用户的生理数据，指导训练者调节心理状态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（一）用户管理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1、管理员可以对注册用户的用户名、性别、年龄等信息进行编辑、统一管理。不同的用户具有不同的用户管理权限。支持按照用户名筛选数据，方便查询用户信息。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2、账号信息修改：为了方便用户信息管理，管理员用户具有管理所有用户账号信息的权限，可对账号的密码及其他信息进行修改，防止用户遗忘密码无法登录的问题发生。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（二）所属管理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管理员可以自如的设置用户所属组别，可以更好的分类用户群体，便于管理。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（三）数据中心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★1、管理员可以在其中进行用户的删除、查看详情等操作，也可以对训练数据进行查看，方便管理人员对于测试数据的分析和研究。（提供有此功能的检测报告）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2、系统支持按照用户名进行检索测试结果，方便测试数据比对分析。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★3、系统可对脑波训练数据进行记录统计分析，并以曲线图、柱状图、饼状图等可视化形式展示，帮助提高训练者的自信心。（提供有此功能的检测报告）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（四）能力提升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能力训练含有状态集中度训练、注意力转换能力测试、视觉分辨能力提升训练、记忆广度训练、干扰因素下的反应时测试、记忆再认训练、迷宫训练、注意力集中度训练、视觉追踪测验等多角度，多维度的进行能力训练，调节心理状态（提供有此功能的检测报告,检测结论为通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1、状态集中度训练：系统同时播放水滴和噪音音频，操作者将听到的水滴声次数填写到方格内，点击完成计数按钮，系统可以自动呈现结果报告。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2、注意力转换能力测试：系统采用加减运算的形式来测试及训练被试者的注意力转换情况。用户根据引导交替进行一加一减运算，并将结果写在两个数字中间。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3、视觉分辨能力提升训练：系统随机生成不同颜色的汉字颜色词语，用户需要选择和上述字体一样颜色的答案，训练时间为3分钟。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4、记忆广度训练：系统随机排列多组数字，在一定时限内，使用者根据系统指令凭借记忆复述出数字，顺利达标后，自动跳转到下一列数字。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5、干扰因素下的反应时测试：系统操作界面由指导语、红键、绿键和开始按钮组成。用户根据系统指令做出反应：当屏幕上出现红圆时，左手点击屏幕绿键；出现绿圆时，右手点击屏幕红键。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记忆再认训练：系统界面由实验要求、多张图片、开始实验、继续试验组成。系统中储存图片不少于22张。系统在一定时限内会预先展示部分图片，正式试验时，系统随机展示图片，被试者对图片进行甄别，若认为是看过的，请按“＋”号键，未看过的请按“—”号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每次训练系统对错误次数进行记录，过程中不会要求改正，避免出现打扰用户训练的情况；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实时反馈训练者的生理数据，长期训练可以提高训练者注意力品质和视觉-动觉能力协调能力训练。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7、迷宫训练：训练者根据系统指示，操作蓝色圆点从入口走到出口，点击答案即可显示该迷宫由入口到出口的完整路线，支持点击变换迷宫进行重复练习。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8、注意力集中度训练：界面为一系列同心圆（轨道），其中有作为视觉追踪点的红色圆点（红灯）。测试开始后，轨道起始点红灯亮起，测试笔对准红灯，红灯开始遵循轨道行径作顺时针的圆周运动。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受测者手持测试笔跟随轨道上红灯。如果脱靶会听到“嘀嘀”的警告声，应立即纠正。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过程中会出现干扰训练的光和噪音。测试结果实时显示在界面左侧：转速、轨道直径、脱靶次数。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9、视觉追踪测验：系统可以呈现两列1-10的数字，点击”生成关系”，自动生成随机曲线连接两列中对应的数字。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训练者通过视觉追踪，按照左侧一列的数字1-10的顺序，追踪曲线，找到并单击右侧曲线终端的数字。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系统自动生成训练者视觉追踪能力测试结果。结果分为三种等级（很差、一般、极佳）。</w:t>
            </w:r>
          </w:p>
          <w:p w14:paraId="450F0D38">
            <w:pPr>
              <w:keepNext w:val="0"/>
              <w:keepLines w:val="0"/>
              <w:widowControl/>
              <w:numPr>
                <w:ilvl w:val="0"/>
                <w:numId w:val="0"/>
              </w:numPr>
              <w:suppressLineNumbers w:val="0"/>
              <w:spacing w:line="36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此软件需预留接口，对接心理健康大数据云平台，实现无缝数据对接、汇总</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F6306">
            <w:pPr>
              <w:keepNext w:val="0"/>
              <w:keepLines w:val="0"/>
              <w:widowControl/>
              <w:suppressLineNumbers w:val="0"/>
              <w:spacing w:line="360"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14</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4AD5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3F924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F2139">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7</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2CC0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办公桌椅</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9CEB0">
            <w:pPr>
              <w:keepNext w:val="0"/>
              <w:keepLines w:val="0"/>
              <w:widowControl/>
              <w:suppressLineNumbers w:val="0"/>
              <w:spacing w:line="36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办公桌尺寸：</w:t>
            </w:r>
            <w:r>
              <w:rPr>
                <w:rFonts w:hint="eastAsia" w:ascii="宋体" w:hAnsi="宋体" w:cs="宋体"/>
                <w:i w:val="0"/>
                <w:iCs w:val="0"/>
                <w:color w:val="auto"/>
                <w:kern w:val="0"/>
                <w:sz w:val="21"/>
                <w:szCs w:val="21"/>
                <w:highlight w:val="none"/>
                <w:u w:val="none"/>
                <w:lang w:val="en-US" w:eastAsia="zh-CN" w:bidi="ar"/>
              </w:rPr>
              <w:t>不小于</w:t>
            </w:r>
            <w:r>
              <w:rPr>
                <w:rFonts w:hint="eastAsia" w:ascii="宋体" w:hAnsi="宋体" w:eastAsia="宋体" w:cs="宋体"/>
                <w:i w:val="0"/>
                <w:iCs w:val="0"/>
                <w:color w:val="auto"/>
                <w:kern w:val="0"/>
                <w:sz w:val="21"/>
                <w:szCs w:val="21"/>
                <w:highlight w:val="none"/>
                <w:u w:val="none"/>
                <w:lang w:val="en-US" w:eastAsia="zh-CN" w:bidi="ar"/>
              </w:rPr>
              <w:t>1200×600×750mm，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1、面材：采用25mm厚的高密度刨花板，强度高、刚性好、不变形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2、比重合理,达到国际握钉力测试标准。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3、金属配件：采用进口产品，安装简单快捷。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4、封边：采用2mm厚的PVC封边。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5、台面采用国际流行的成型板工艺充分体现人工学原理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6、配套高级液压升降式五轮转椅。</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03F1E">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B32D5">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44C7C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5B4C9">
            <w:pPr>
              <w:spacing w:line="360" w:lineRule="auto"/>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8</w:t>
            </w:r>
          </w:p>
        </w:tc>
        <w:tc>
          <w:tcPr>
            <w:tcW w:w="8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42A42">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文件柜</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F2BC1">
            <w:pPr>
              <w:keepNext w:val="0"/>
              <w:keepLines w:val="0"/>
              <w:widowControl/>
              <w:suppressLineNumbers w:val="0"/>
              <w:spacing w:line="36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用于放置档案、图书。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参考规格：1800*900*40cm，四门，铁皮柜</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EAAAA">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B088">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个</w:t>
            </w:r>
          </w:p>
        </w:tc>
      </w:tr>
      <w:tr w14:paraId="4C7E5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9795D">
            <w:pPr>
              <w:spacing w:line="360" w:lineRule="auto"/>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9</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C6615">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三人沙发</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6B424">
            <w:pPr>
              <w:keepNext w:val="0"/>
              <w:keepLines w:val="0"/>
              <w:widowControl/>
              <w:suppressLineNumbers w:val="0"/>
              <w:spacing w:line="36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三人位+1个单人位+脚踏；材质：环保绒面；三人位长240cm，宽76cm，坐高40cm，总高80cm；单人位长74cm ，宽76cm，坐高40cm；脚踏70cm*70cm</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2CE3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500A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r>
      <w:tr w14:paraId="58E89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A8A48">
            <w:pPr>
              <w:spacing w:line="360" w:lineRule="auto"/>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10</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0F3DF">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茶几</w:t>
            </w:r>
          </w:p>
        </w:tc>
        <w:tc>
          <w:tcPr>
            <w:tcW w:w="30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2B82A">
            <w:pPr>
              <w:keepNext w:val="0"/>
              <w:keepLines w:val="0"/>
              <w:widowControl/>
              <w:suppressLineNumbers w:val="0"/>
              <w:spacing w:line="36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风格: 长方形茶几，可简约现代</w:t>
            </w:r>
          </w:p>
        </w:tc>
        <w:tc>
          <w:tcPr>
            <w:tcW w:w="3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C525D">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C49D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r>
      <w:tr w14:paraId="3FB8E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370" w:type="pct"/>
            <w:tcBorders>
              <w:top w:val="nil"/>
              <w:left w:val="single" w:color="000000" w:sz="4" w:space="0"/>
              <w:bottom w:val="nil"/>
              <w:right w:val="single" w:color="000000" w:sz="4" w:space="0"/>
            </w:tcBorders>
            <w:shd w:val="clear" w:color="auto" w:fill="auto"/>
            <w:vAlign w:val="center"/>
          </w:tcPr>
          <w:p w14:paraId="5FCB78E4">
            <w:pPr>
              <w:spacing w:line="360" w:lineRule="auto"/>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11</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3CF77">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绿植</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EEFED">
            <w:pPr>
              <w:keepNext w:val="0"/>
              <w:keepLines w:val="0"/>
              <w:widowControl/>
              <w:suppressLineNumbers w:val="0"/>
              <w:spacing w:line="36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规格：定制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地面摆放植：散尾葵，盆材质：白色树脂（带托盘），盆身：口径27cm*高39cm；植物高度：100-120cm，含盆高度：130-150cm</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5E4BE">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4</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00C45">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盆</w:t>
            </w:r>
          </w:p>
        </w:tc>
      </w:tr>
      <w:tr w14:paraId="264B8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5"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68429">
            <w:pPr>
              <w:keepNext w:val="0"/>
              <w:keepLines w:val="0"/>
              <w:widowControl/>
              <w:suppressLineNumbers w:val="0"/>
              <w:spacing w:line="360" w:lineRule="auto"/>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12</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302DF">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咨询沙发</w:t>
            </w:r>
          </w:p>
        </w:tc>
        <w:tc>
          <w:tcPr>
            <w:tcW w:w="30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9DF4E">
            <w:pPr>
              <w:keepNext w:val="0"/>
              <w:keepLines w:val="0"/>
              <w:widowControl/>
              <w:suppressLineNumbers w:val="0"/>
              <w:spacing w:line="36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用于开展咨询，与整体环境相协调。单人沙发，人体工程学设计，双拼色超纤材质材质，高密度回弹海绵填充，。沙发总高不低于65cm，沙发脚高不低于10cm，座深不低于44cm，座宽不低于45cm。</w:t>
            </w:r>
          </w:p>
        </w:tc>
        <w:tc>
          <w:tcPr>
            <w:tcW w:w="3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C6363">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A19B7">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r>
      <w:tr w14:paraId="384F8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5F29F">
            <w:pPr>
              <w:spacing w:line="360" w:lineRule="auto"/>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13</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3C0D8">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咨询茶几</w:t>
            </w:r>
          </w:p>
        </w:tc>
        <w:tc>
          <w:tcPr>
            <w:tcW w:w="30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A8EFD">
            <w:pPr>
              <w:keepNext w:val="0"/>
              <w:keepLines w:val="0"/>
              <w:widowControl/>
              <w:suppressLineNumbers w:val="0"/>
              <w:spacing w:line="360" w:lineRule="auto"/>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风格: 圆形可简约现代；高不低于55cm，直径不低于50cm</w:t>
            </w:r>
          </w:p>
        </w:tc>
        <w:tc>
          <w:tcPr>
            <w:tcW w:w="3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9A547">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80168">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r>
      <w:tr w14:paraId="0CFD4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ED4D5">
            <w:pPr>
              <w:spacing w:line="360" w:lineRule="auto"/>
              <w:jc w:val="center"/>
              <w:rPr>
                <w:rFonts w:hint="default"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14</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DAD61">
            <w:pPr>
              <w:keepNext w:val="0"/>
              <w:keepLines w:val="0"/>
              <w:widowControl/>
              <w:suppressLineNumbers w:val="0"/>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无声挂钟</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top"/>
          </w:tcPr>
          <w:p w14:paraId="48D87FA0">
            <w:pPr>
              <w:keepNext w:val="0"/>
              <w:keepLines w:val="0"/>
              <w:widowControl/>
              <w:suppressLineNumbers w:val="0"/>
              <w:spacing w:line="360" w:lineRule="auto"/>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形状</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圆形尺寸</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14英寸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机芯类型</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扫秒机芯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动力类型</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 xml:space="preserve"> 电池</w:t>
            </w:r>
          </w:p>
        </w:tc>
        <w:tc>
          <w:tcPr>
            <w:tcW w:w="3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236EE">
            <w:pPr>
              <w:keepNext w:val="0"/>
              <w:keepLines w:val="0"/>
              <w:widowControl/>
              <w:suppressLineNumbers w:val="0"/>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w:t>
            </w: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9D37E">
            <w:pPr>
              <w:keepNext w:val="0"/>
              <w:keepLines w:val="0"/>
              <w:widowControl/>
              <w:suppressLineNumbers w:val="0"/>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6F6A2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DE6C9">
            <w:pPr>
              <w:spacing w:line="360" w:lineRule="auto"/>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15</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0A6A6">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空调挂机（2匹）</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65512">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功能：冷暖</w:t>
            </w:r>
          </w:p>
          <w:p w14:paraId="7566EA1E">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变频：是</w:t>
            </w:r>
          </w:p>
          <w:p w14:paraId="53BE1A87">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匹数：2P</w:t>
            </w:r>
          </w:p>
          <w:p w14:paraId="6D127E23">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制冷功率(W)：≤2300</w:t>
            </w:r>
          </w:p>
          <w:p w14:paraId="58FBCEF9">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制冷量(W)：≥5060</w:t>
            </w:r>
          </w:p>
          <w:p w14:paraId="46D9BA05">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制热功率(W)：≤2650</w:t>
            </w:r>
          </w:p>
          <w:p w14:paraId="73477E50">
            <w:pPr>
              <w:keepNext w:val="0"/>
              <w:keepLines w:val="0"/>
              <w:widowControl/>
              <w:suppressLineNumbers w:val="0"/>
              <w:spacing w:line="360" w:lineRule="auto"/>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制热量(W)：≥7230</w:t>
            </w:r>
          </w:p>
          <w:p w14:paraId="6BF84563">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能耗等级：1级</w:t>
            </w:r>
          </w:p>
          <w:p w14:paraId="111E162F">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电源规格：220V~/50Hz</w:t>
            </w:r>
          </w:p>
          <w:p w14:paraId="4569D60E">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能源消耗效率(APF)：≥4.81</w:t>
            </w:r>
          </w:p>
          <w:p w14:paraId="76C1B2EC">
            <w:pPr>
              <w:keepNext w:val="0"/>
              <w:keepLines w:val="0"/>
              <w:widowControl/>
              <w:suppressLineNumbers w:val="0"/>
              <w:spacing w:line="36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电辅热输入功率(W)：≤1200</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B9D75">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543A9">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7DAFD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B076A">
            <w:pPr>
              <w:spacing w:line="360" w:lineRule="auto"/>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16</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CBAE5">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空调挂机（1.5匹）</w:t>
            </w:r>
          </w:p>
        </w:tc>
        <w:tc>
          <w:tcPr>
            <w:tcW w:w="3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2293C">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功能：冷暖</w:t>
            </w:r>
          </w:p>
          <w:p w14:paraId="6924D21C">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变频：是</w:t>
            </w:r>
          </w:p>
          <w:p w14:paraId="37BA0C97">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匹数：1.5P</w:t>
            </w:r>
          </w:p>
          <w:p w14:paraId="79D0F259">
            <w:pPr>
              <w:keepNext w:val="0"/>
              <w:keepLines w:val="0"/>
              <w:widowControl/>
              <w:suppressLineNumbers w:val="0"/>
              <w:spacing w:line="360" w:lineRule="auto"/>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制冷功率(W)：≤2100</w:t>
            </w:r>
          </w:p>
          <w:p w14:paraId="1BA39795">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制冷量(W)：≥3530</w:t>
            </w:r>
          </w:p>
          <w:p w14:paraId="4BEE781A">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制热功率(W)：≤2150</w:t>
            </w:r>
          </w:p>
          <w:p w14:paraId="6B9F6C5A">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制热量(W)：≥5020</w:t>
            </w:r>
          </w:p>
          <w:p w14:paraId="1C751491">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能耗等级：1级</w:t>
            </w:r>
          </w:p>
          <w:p w14:paraId="3E2E7FC8">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电源规格：220V~/50Hz</w:t>
            </w:r>
          </w:p>
          <w:p w14:paraId="3541A7AA">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能源消耗效率(APF)：≥5.32</w:t>
            </w:r>
          </w:p>
          <w:p w14:paraId="19DA4D32">
            <w:pPr>
              <w:keepNext w:val="0"/>
              <w:keepLines w:val="0"/>
              <w:widowControl/>
              <w:suppressLineNumbers w:val="0"/>
              <w:spacing w:line="360"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电辅热输入功率(W)：≤850</w:t>
            </w:r>
          </w:p>
        </w:tc>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8EB46">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11929">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bl>
    <w:p w14:paraId="66D1E1B4">
      <w:pPr>
        <w:spacing w:after="120" w:line="312" w:lineRule="auto"/>
        <w:ind w:firstLine="420" w:firstLineChars="200"/>
        <w:rPr>
          <w:rFonts w:hint="eastAsia" w:ascii="宋体" w:hAnsi="宋体" w:cs="宋体"/>
          <w:color w:val="auto"/>
          <w:sz w:val="21"/>
          <w:szCs w:val="21"/>
        </w:rPr>
      </w:pPr>
    </w:p>
    <w:p w14:paraId="0ECB7FFE">
      <w:pPr>
        <w:spacing w:after="120" w:line="312" w:lineRule="auto"/>
        <w:ind w:firstLine="420" w:firstLineChars="200"/>
        <w:rPr>
          <w:color w:val="auto"/>
        </w:rPr>
      </w:pPr>
      <w:r>
        <w:rPr>
          <w:rFonts w:hint="eastAsia" w:ascii="宋体" w:hAnsi="宋体" w:cs="宋体"/>
          <w:color w:val="auto"/>
          <w:sz w:val="21"/>
          <w:szCs w:val="21"/>
        </w:rPr>
        <w:t>备注：以上技术要求是满足本项目采购的基本要求，如有与某项产品参数指标描述相同，并非特指，仅为采购货物功能、性能、质量、档次、水平的参照，各</w:t>
      </w:r>
      <w:r>
        <w:rPr>
          <w:rFonts w:hint="eastAsia" w:ascii="宋体" w:hAnsi="宋体" w:cs="宋体"/>
          <w:color w:val="auto"/>
          <w:sz w:val="21"/>
          <w:szCs w:val="21"/>
          <w:lang w:eastAsia="zh-CN"/>
        </w:rPr>
        <w:t>供应商</w:t>
      </w:r>
      <w:r>
        <w:rPr>
          <w:rFonts w:hint="eastAsia" w:ascii="宋体" w:hAnsi="宋体" w:cs="宋体"/>
          <w:color w:val="auto"/>
          <w:sz w:val="21"/>
          <w:szCs w:val="21"/>
        </w:rPr>
        <w:t>可根据实际情况投报符合采购要求或优于采购要求的产品。</w:t>
      </w:r>
    </w:p>
    <w:sectPr>
      <w:footerReference r:id="rId11" w:type="default"/>
      <w:pgSz w:w="11900" w:h="16840"/>
      <w:pgMar w:top="1440" w:right="1080" w:bottom="1440" w:left="1080" w:header="0" w:footer="1134"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Helvetica">
    <w:altName w:val="Arial"/>
    <w:panose1 w:val="00000000000000000000"/>
    <w:charset w:val="00"/>
    <w:family w:val="swiss"/>
    <w:pitch w:val="default"/>
    <w:sig w:usb0="00000000" w:usb1="00000000" w:usb2="00000000" w:usb3="00000000" w:csb0="2000019F" w:csb1="4F010000"/>
  </w:font>
  <w:font w:name="苹方-简 常规体">
    <w:altName w:val="宋体"/>
    <w:panose1 w:val="020B0400000000000000"/>
    <w:charset w:val="86"/>
    <w:family w:val="auto"/>
    <w:pitch w:val="default"/>
    <w:sig w:usb0="00000000" w:usb1="00000000" w:usb2="00000017" w:usb3="00000000" w:csb0="00040001"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AE8C4">
    <w:pPr>
      <w:tabs>
        <w:tab w:val="center" w:pos="4121"/>
      </w:tabs>
      <w:rPr>
        <w:b/>
        <w:i/>
        <w:iCs/>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3903E">
    <w:pPr>
      <w:pStyle w:val="18"/>
      <w:tabs>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60930">
    <w:pPr>
      <w:tabs>
        <w:tab w:val="center" w:pos="4121"/>
      </w:tabs>
      <w:rPr>
        <w:b/>
        <w:i/>
        <w:iCs/>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79E8B">
    <w:pPr>
      <w:pStyle w:val="18"/>
      <w:tabs>
        <w:tab w:val="clear" w:pos="4153"/>
      </w:tabs>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3D242D4">
                          <w:pPr>
                            <w:pStyle w:val="18"/>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wps:txbx>
                    <wps:bodyPr vert="horz" wrap="none" lIns="0" tIns="0" rIns="0" bIns="0" anchor="t">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MHauqPKAQAAkgMAAA4AAAAAAAAAAQAgAAAAHwEAAGRycy9lMm9E&#10;b2MueG1sUEsFBgAAAAAGAAYAWQEAAFsFAAAAAA==&#10;">
              <v:fill on="f" focussize="0,0"/>
              <v:stroke on="f"/>
              <v:imagedata o:title=""/>
              <o:lock v:ext="edit" aspectratio="f"/>
              <v:textbox inset="0mm,0mm,0mm,0mm" style="mso-fit-shape-to-text:t;">
                <w:txbxContent>
                  <w:p w14:paraId="03D242D4">
                    <w:pPr>
                      <w:pStyle w:val="18"/>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rect>
          </w:pict>
        </mc:Fallback>
      </mc:AlternateConten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0588"/>
    </w:sdtPr>
    <w:sdtContent>
      <w:p w14:paraId="4C119B5D">
        <w:pPr>
          <w:pStyle w:val="18"/>
          <w:jc w:val="center"/>
        </w:pPr>
        <w:r>
          <w:fldChar w:fldCharType="begin"/>
        </w:r>
        <w:r>
          <w:instrText xml:space="preserve">PAGE   \* MERGEFORMAT</w:instrText>
        </w:r>
        <w:r>
          <w:fldChar w:fldCharType="separate"/>
        </w:r>
        <w:r>
          <w:rPr>
            <w:lang w:val="zh-CN"/>
          </w:rPr>
          <w:t>61</w:t>
        </w:r>
        <w:r>
          <w:fldChar w:fldCharType="end"/>
        </w:r>
      </w:p>
    </w:sdtContent>
  </w:sdt>
  <w:p w14:paraId="00C212C3">
    <w:pPr>
      <w:tabs>
        <w:tab w:val="center" w:pos="4121"/>
      </w:tabs>
      <w:rPr>
        <w:b/>
        <w:i/>
        <w:iCs/>
        <w:sz w:val="21"/>
        <w:szCs w:val="21"/>
        <w:u w:val="single"/>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7059"/>
    </w:sdtPr>
    <w:sdtContent>
      <w:p w14:paraId="50952F96">
        <w:pPr>
          <w:pStyle w:val="18"/>
          <w:jc w:val="center"/>
        </w:pPr>
        <w:r>
          <w:fldChar w:fldCharType="begin"/>
        </w:r>
        <w:r>
          <w:instrText xml:space="preserve">PAGE   \* MERGEFORMAT</w:instrText>
        </w:r>
        <w:r>
          <w:fldChar w:fldCharType="separate"/>
        </w:r>
        <w:r>
          <w:rPr>
            <w:lang w:val="zh-CN"/>
          </w:rPr>
          <w:t>3</w:t>
        </w:r>
        <w:r>
          <w:fldChar w:fldCharType="end"/>
        </w:r>
      </w:p>
    </w:sdtContent>
  </w:sdt>
  <w:p w14:paraId="4C57D96B">
    <w:pPr>
      <w:pStyle w:val="1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11741976"/>
    </w:sdtPr>
    <w:sdtContent>
      <w:p w14:paraId="115AA6B1">
        <w:pPr>
          <w:pStyle w:val="18"/>
          <w:jc w:val="center"/>
        </w:pPr>
        <w:r>
          <w:fldChar w:fldCharType="begin"/>
        </w:r>
        <w:r>
          <w:instrText xml:space="preserve">PAGE   \* MERGEFORMAT</w:instrText>
        </w:r>
        <w:r>
          <w:fldChar w:fldCharType="separate"/>
        </w:r>
        <w:r>
          <w:rPr>
            <w:lang w:val="zh-CN"/>
          </w:rPr>
          <w:t>61</w:t>
        </w:r>
        <w:r>
          <w:fldChar w:fldCharType="end"/>
        </w:r>
      </w:p>
    </w:sdtContent>
  </w:sdt>
  <w:p w14:paraId="4174BBEC">
    <w:pPr>
      <w:tabs>
        <w:tab w:val="center" w:pos="4121"/>
      </w:tabs>
      <w:rPr>
        <w:b/>
        <w:i/>
        <w:iCs/>
        <w:sz w:val="21"/>
        <w:szCs w:val="21"/>
        <w:u w:val="single"/>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E3E50">
    <w:pPr>
      <w:pStyle w:val="20"/>
      <w:pBdr>
        <w:bottom w:val="none" w:color="auto" w:sz="0" w:space="1"/>
      </w:pBdr>
      <w:jc w:val="both"/>
      <w:rPr>
        <w:rFonts w:ascii="宋体" w:hAnsi="宋体" w:cs="宋体"/>
        <w:b/>
        <w:i/>
        <w:i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5E1E6">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C5FABB"/>
    <w:multiLevelType w:val="singleLevel"/>
    <w:tmpl w:val="A3C5FABB"/>
    <w:lvl w:ilvl="0" w:tentative="0">
      <w:start w:val="1"/>
      <w:numFmt w:val="chineseCounting"/>
      <w:suff w:val="nothing"/>
      <w:lvlText w:val="%1、"/>
      <w:lvlJc w:val="left"/>
      <w:rPr>
        <w:rFonts w:hint="eastAsia"/>
      </w:rPr>
    </w:lvl>
  </w:abstractNum>
  <w:abstractNum w:abstractNumId="1">
    <w:nsid w:val="2C22320D"/>
    <w:multiLevelType w:val="singleLevel"/>
    <w:tmpl w:val="2C22320D"/>
    <w:lvl w:ilvl="0" w:tentative="0">
      <w:start w:val="1"/>
      <w:numFmt w:val="chineseCounting"/>
      <w:suff w:val="nothing"/>
      <w:lvlText w:val="%1、"/>
      <w:lvlJc w:val="left"/>
      <w:rPr>
        <w:rFonts w:hint="eastAsia"/>
      </w:rPr>
    </w:lvl>
  </w:abstractNum>
  <w:abstractNum w:abstractNumId="2">
    <w:nsid w:val="4C4E8866"/>
    <w:multiLevelType w:val="singleLevel"/>
    <w:tmpl w:val="4C4E8866"/>
    <w:lvl w:ilvl="0" w:tentative="0">
      <w:start w:val="1"/>
      <w:numFmt w:val="chineseCounting"/>
      <w:suff w:val="nothing"/>
      <w:lvlText w:val="%1、"/>
      <w:lvlJc w:val="left"/>
      <w:rPr>
        <w:rFonts w:hint="eastAsia"/>
      </w:rPr>
    </w:lvl>
  </w:abstractNum>
  <w:abstractNum w:abstractNumId="3">
    <w:nsid w:val="776EF5F3"/>
    <w:multiLevelType w:val="singleLevel"/>
    <w:tmpl w:val="776EF5F3"/>
    <w:lvl w:ilvl="0" w:tentative="0">
      <w:start w:val="4"/>
      <w:numFmt w:val="chineseCounting"/>
      <w:suff w:val="nothing"/>
      <w:lvlText w:val="%1、"/>
      <w:lvlJc w:val="left"/>
      <w:rPr>
        <w:rFonts w:hint="eastAsia"/>
      </w:rPr>
    </w:lvl>
  </w:abstractNum>
  <w:abstractNum w:abstractNumId="4">
    <w:nsid w:val="7E210D2B"/>
    <w:multiLevelType w:val="singleLevel"/>
    <w:tmpl w:val="7E210D2B"/>
    <w:lvl w:ilvl="0" w:tentative="0">
      <w:start w:val="1"/>
      <w:numFmt w:val="decimal"/>
      <w:suff w:val="nothing"/>
      <w:lvlText w:val="（%1）"/>
      <w:lvlJc w:val="left"/>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MzBlOTk3OGM4ZDg1MGNiYzQ0MGIxMGMwM2UzZTgifQ=="/>
  </w:docVars>
  <w:rsids>
    <w:rsidRoot w:val="00262473"/>
    <w:rsid w:val="00001BB8"/>
    <w:rsid w:val="00002AFA"/>
    <w:rsid w:val="000046CE"/>
    <w:rsid w:val="00006A26"/>
    <w:rsid w:val="0000785A"/>
    <w:rsid w:val="00007BAD"/>
    <w:rsid w:val="00014BEE"/>
    <w:rsid w:val="0002002F"/>
    <w:rsid w:val="00021254"/>
    <w:rsid w:val="00024792"/>
    <w:rsid w:val="00026119"/>
    <w:rsid w:val="00027AF7"/>
    <w:rsid w:val="00027B4B"/>
    <w:rsid w:val="00030321"/>
    <w:rsid w:val="00030508"/>
    <w:rsid w:val="00032FC3"/>
    <w:rsid w:val="000345E9"/>
    <w:rsid w:val="00036947"/>
    <w:rsid w:val="00040183"/>
    <w:rsid w:val="000443CE"/>
    <w:rsid w:val="00046894"/>
    <w:rsid w:val="00047502"/>
    <w:rsid w:val="00050E72"/>
    <w:rsid w:val="00051823"/>
    <w:rsid w:val="000542EB"/>
    <w:rsid w:val="00054AB1"/>
    <w:rsid w:val="00063155"/>
    <w:rsid w:val="0006607C"/>
    <w:rsid w:val="0006688E"/>
    <w:rsid w:val="00073AD8"/>
    <w:rsid w:val="00076580"/>
    <w:rsid w:val="000775DB"/>
    <w:rsid w:val="00081F16"/>
    <w:rsid w:val="000857C6"/>
    <w:rsid w:val="0008759C"/>
    <w:rsid w:val="00093D25"/>
    <w:rsid w:val="000A5B38"/>
    <w:rsid w:val="000A7739"/>
    <w:rsid w:val="000B6035"/>
    <w:rsid w:val="000C0171"/>
    <w:rsid w:val="000C0BE6"/>
    <w:rsid w:val="000C27FA"/>
    <w:rsid w:val="000C4948"/>
    <w:rsid w:val="000C4CE2"/>
    <w:rsid w:val="000C520E"/>
    <w:rsid w:val="000D0A99"/>
    <w:rsid w:val="000D74B2"/>
    <w:rsid w:val="000E10F1"/>
    <w:rsid w:val="000E2F2B"/>
    <w:rsid w:val="000E5DAE"/>
    <w:rsid w:val="000E5E18"/>
    <w:rsid w:val="000F2957"/>
    <w:rsid w:val="000F3B32"/>
    <w:rsid w:val="000F6208"/>
    <w:rsid w:val="00100B93"/>
    <w:rsid w:val="00102295"/>
    <w:rsid w:val="001029B5"/>
    <w:rsid w:val="00106B1A"/>
    <w:rsid w:val="00107804"/>
    <w:rsid w:val="00107FB5"/>
    <w:rsid w:val="00113304"/>
    <w:rsid w:val="001142CA"/>
    <w:rsid w:val="00120586"/>
    <w:rsid w:val="00120EB6"/>
    <w:rsid w:val="0013224B"/>
    <w:rsid w:val="00132965"/>
    <w:rsid w:val="00141EAF"/>
    <w:rsid w:val="0014693C"/>
    <w:rsid w:val="00147D26"/>
    <w:rsid w:val="00151EAE"/>
    <w:rsid w:val="00162AE5"/>
    <w:rsid w:val="00165A61"/>
    <w:rsid w:val="00167106"/>
    <w:rsid w:val="00173FEE"/>
    <w:rsid w:val="00184412"/>
    <w:rsid w:val="00192EAC"/>
    <w:rsid w:val="001935D8"/>
    <w:rsid w:val="00193E93"/>
    <w:rsid w:val="00194A39"/>
    <w:rsid w:val="00194ABD"/>
    <w:rsid w:val="001A01C7"/>
    <w:rsid w:val="001A2307"/>
    <w:rsid w:val="001B158C"/>
    <w:rsid w:val="001B3A42"/>
    <w:rsid w:val="001C20BC"/>
    <w:rsid w:val="001C51CE"/>
    <w:rsid w:val="001C686C"/>
    <w:rsid w:val="001C714B"/>
    <w:rsid w:val="001C72F3"/>
    <w:rsid w:val="001C7F2A"/>
    <w:rsid w:val="001E31A4"/>
    <w:rsid w:val="001E32FD"/>
    <w:rsid w:val="001E3351"/>
    <w:rsid w:val="001E362A"/>
    <w:rsid w:val="001E78EF"/>
    <w:rsid w:val="001F0800"/>
    <w:rsid w:val="001F5A7A"/>
    <w:rsid w:val="002016A6"/>
    <w:rsid w:val="0020218F"/>
    <w:rsid w:val="00206523"/>
    <w:rsid w:val="00206F51"/>
    <w:rsid w:val="00211289"/>
    <w:rsid w:val="002159F6"/>
    <w:rsid w:val="00216464"/>
    <w:rsid w:val="0022024C"/>
    <w:rsid w:val="00226332"/>
    <w:rsid w:val="00231664"/>
    <w:rsid w:val="00235E97"/>
    <w:rsid w:val="002366D3"/>
    <w:rsid w:val="00236CB7"/>
    <w:rsid w:val="00237A20"/>
    <w:rsid w:val="00243647"/>
    <w:rsid w:val="00244D73"/>
    <w:rsid w:val="00254105"/>
    <w:rsid w:val="00255A9A"/>
    <w:rsid w:val="00257582"/>
    <w:rsid w:val="002579B6"/>
    <w:rsid w:val="00261BB5"/>
    <w:rsid w:val="00262473"/>
    <w:rsid w:val="00262AC3"/>
    <w:rsid w:val="00263BF1"/>
    <w:rsid w:val="0026733E"/>
    <w:rsid w:val="0027153C"/>
    <w:rsid w:val="0027306A"/>
    <w:rsid w:val="00276F12"/>
    <w:rsid w:val="00280664"/>
    <w:rsid w:val="002842DD"/>
    <w:rsid w:val="0029014C"/>
    <w:rsid w:val="002928F7"/>
    <w:rsid w:val="002929AF"/>
    <w:rsid w:val="002A29C2"/>
    <w:rsid w:val="002A605D"/>
    <w:rsid w:val="002A6D41"/>
    <w:rsid w:val="002C0093"/>
    <w:rsid w:val="002C1434"/>
    <w:rsid w:val="002C19F4"/>
    <w:rsid w:val="002D0EB6"/>
    <w:rsid w:val="002D40E0"/>
    <w:rsid w:val="002D577B"/>
    <w:rsid w:val="002D7AD3"/>
    <w:rsid w:val="002E0143"/>
    <w:rsid w:val="002E29A5"/>
    <w:rsid w:val="002E7632"/>
    <w:rsid w:val="002F0821"/>
    <w:rsid w:val="002F1D8A"/>
    <w:rsid w:val="002F3AF1"/>
    <w:rsid w:val="00300025"/>
    <w:rsid w:val="00306565"/>
    <w:rsid w:val="00307503"/>
    <w:rsid w:val="0030757A"/>
    <w:rsid w:val="00307646"/>
    <w:rsid w:val="003129E4"/>
    <w:rsid w:val="003131FC"/>
    <w:rsid w:val="003173A1"/>
    <w:rsid w:val="003242BA"/>
    <w:rsid w:val="00324386"/>
    <w:rsid w:val="0032739A"/>
    <w:rsid w:val="00330446"/>
    <w:rsid w:val="00330A54"/>
    <w:rsid w:val="003331E7"/>
    <w:rsid w:val="00333DD1"/>
    <w:rsid w:val="0033548A"/>
    <w:rsid w:val="00341A65"/>
    <w:rsid w:val="0034718E"/>
    <w:rsid w:val="00347217"/>
    <w:rsid w:val="00347801"/>
    <w:rsid w:val="00350325"/>
    <w:rsid w:val="00350B42"/>
    <w:rsid w:val="00354A8E"/>
    <w:rsid w:val="00356EA0"/>
    <w:rsid w:val="003571E6"/>
    <w:rsid w:val="003615BD"/>
    <w:rsid w:val="0036272F"/>
    <w:rsid w:val="003660C2"/>
    <w:rsid w:val="00370E21"/>
    <w:rsid w:val="00377517"/>
    <w:rsid w:val="00386D14"/>
    <w:rsid w:val="00392BC9"/>
    <w:rsid w:val="003938D9"/>
    <w:rsid w:val="00396006"/>
    <w:rsid w:val="003A0E41"/>
    <w:rsid w:val="003A28A7"/>
    <w:rsid w:val="003A3E4E"/>
    <w:rsid w:val="003A6882"/>
    <w:rsid w:val="003B1A79"/>
    <w:rsid w:val="003B1D46"/>
    <w:rsid w:val="003B3FDE"/>
    <w:rsid w:val="003B544D"/>
    <w:rsid w:val="003B7ADE"/>
    <w:rsid w:val="003B7ED9"/>
    <w:rsid w:val="003C3C83"/>
    <w:rsid w:val="003D477A"/>
    <w:rsid w:val="003D741E"/>
    <w:rsid w:val="003D7E40"/>
    <w:rsid w:val="003E0154"/>
    <w:rsid w:val="003E033E"/>
    <w:rsid w:val="003E39A3"/>
    <w:rsid w:val="003E4292"/>
    <w:rsid w:val="003F14F6"/>
    <w:rsid w:val="003F4781"/>
    <w:rsid w:val="003F48B3"/>
    <w:rsid w:val="003F573C"/>
    <w:rsid w:val="003F6B33"/>
    <w:rsid w:val="004011A0"/>
    <w:rsid w:val="0040178B"/>
    <w:rsid w:val="00404C05"/>
    <w:rsid w:val="00405416"/>
    <w:rsid w:val="0041079F"/>
    <w:rsid w:val="00411FE7"/>
    <w:rsid w:val="00414BD0"/>
    <w:rsid w:val="004171A9"/>
    <w:rsid w:val="00421003"/>
    <w:rsid w:val="00422A74"/>
    <w:rsid w:val="00424B90"/>
    <w:rsid w:val="00430AE0"/>
    <w:rsid w:val="00434DEF"/>
    <w:rsid w:val="004351FD"/>
    <w:rsid w:val="0043557D"/>
    <w:rsid w:val="0043697B"/>
    <w:rsid w:val="0045241E"/>
    <w:rsid w:val="004616A0"/>
    <w:rsid w:val="004656A7"/>
    <w:rsid w:val="00466899"/>
    <w:rsid w:val="00470FD1"/>
    <w:rsid w:val="004722EC"/>
    <w:rsid w:val="004815F7"/>
    <w:rsid w:val="00481FF1"/>
    <w:rsid w:val="00487FD1"/>
    <w:rsid w:val="00492032"/>
    <w:rsid w:val="00494F24"/>
    <w:rsid w:val="00495121"/>
    <w:rsid w:val="004A0C11"/>
    <w:rsid w:val="004A1F5A"/>
    <w:rsid w:val="004A32ED"/>
    <w:rsid w:val="004A44F7"/>
    <w:rsid w:val="004A5C9A"/>
    <w:rsid w:val="004B0B2D"/>
    <w:rsid w:val="004B0F55"/>
    <w:rsid w:val="004C1D3E"/>
    <w:rsid w:val="004C3BD6"/>
    <w:rsid w:val="004C494B"/>
    <w:rsid w:val="004C7A0D"/>
    <w:rsid w:val="004D31FE"/>
    <w:rsid w:val="004D38AA"/>
    <w:rsid w:val="004E384C"/>
    <w:rsid w:val="004E51AF"/>
    <w:rsid w:val="004F04DB"/>
    <w:rsid w:val="004F1DED"/>
    <w:rsid w:val="004F3E9F"/>
    <w:rsid w:val="0050105A"/>
    <w:rsid w:val="005042FD"/>
    <w:rsid w:val="00510B16"/>
    <w:rsid w:val="00510EBD"/>
    <w:rsid w:val="00511734"/>
    <w:rsid w:val="00514001"/>
    <w:rsid w:val="00516E94"/>
    <w:rsid w:val="00517A1C"/>
    <w:rsid w:val="005214F8"/>
    <w:rsid w:val="005224C7"/>
    <w:rsid w:val="00524D73"/>
    <w:rsid w:val="00526859"/>
    <w:rsid w:val="00533C33"/>
    <w:rsid w:val="00534A40"/>
    <w:rsid w:val="005371F7"/>
    <w:rsid w:val="00537D18"/>
    <w:rsid w:val="00544607"/>
    <w:rsid w:val="005503BE"/>
    <w:rsid w:val="0055141D"/>
    <w:rsid w:val="0055281B"/>
    <w:rsid w:val="005529C6"/>
    <w:rsid w:val="00563A0C"/>
    <w:rsid w:val="005667B5"/>
    <w:rsid w:val="00567811"/>
    <w:rsid w:val="00572BF6"/>
    <w:rsid w:val="0057671A"/>
    <w:rsid w:val="0058101B"/>
    <w:rsid w:val="0058527C"/>
    <w:rsid w:val="00586973"/>
    <w:rsid w:val="00586EBA"/>
    <w:rsid w:val="0058750F"/>
    <w:rsid w:val="00587567"/>
    <w:rsid w:val="005922F3"/>
    <w:rsid w:val="00592854"/>
    <w:rsid w:val="00592BFD"/>
    <w:rsid w:val="005A09EB"/>
    <w:rsid w:val="005A0FED"/>
    <w:rsid w:val="005A1699"/>
    <w:rsid w:val="005A5768"/>
    <w:rsid w:val="005B2EAC"/>
    <w:rsid w:val="005B35F4"/>
    <w:rsid w:val="005B68A6"/>
    <w:rsid w:val="005B6F1E"/>
    <w:rsid w:val="005B756B"/>
    <w:rsid w:val="005C60AF"/>
    <w:rsid w:val="005C675C"/>
    <w:rsid w:val="005D5E53"/>
    <w:rsid w:val="005D70A8"/>
    <w:rsid w:val="005E2854"/>
    <w:rsid w:val="005E3795"/>
    <w:rsid w:val="005E526D"/>
    <w:rsid w:val="005E74C7"/>
    <w:rsid w:val="005F2D38"/>
    <w:rsid w:val="005F40D9"/>
    <w:rsid w:val="005F6769"/>
    <w:rsid w:val="005F7D3A"/>
    <w:rsid w:val="0060393E"/>
    <w:rsid w:val="006171B0"/>
    <w:rsid w:val="00621E6B"/>
    <w:rsid w:val="0062376A"/>
    <w:rsid w:val="006268EA"/>
    <w:rsid w:val="00626B3D"/>
    <w:rsid w:val="00626B4F"/>
    <w:rsid w:val="0062721B"/>
    <w:rsid w:val="00632CED"/>
    <w:rsid w:val="006359B2"/>
    <w:rsid w:val="00635BF4"/>
    <w:rsid w:val="00636153"/>
    <w:rsid w:val="006422DC"/>
    <w:rsid w:val="00644D61"/>
    <w:rsid w:val="006457E5"/>
    <w:rsid w:val="00646D6C"/>
    <w:rsid w:val="00654069"/>
    <w:rsid w:val="006547D0"/>
    <w:rsid w:val="006607C0"/>
    <w:rsid w:val="00661091"/>
    <w:rsid w:val="00661E1C"/>
    <w:rsid w:val="0066242D"/>
    <w:rsid w:val="00666C90"/>
    <w:rsid w:val="00672DDA"/>
    <w:rsid w:val="00675809"/>
    <w:rsid w:val="00680F71"/>
    <w:rsid w:val="00691B7E"/>
    <w:rsid w:val="006929E5"/>
    <w:rsid w:val="00694B98"/>
    <w:rsid w:val="00697721"/>
    <w:rsid w:val="0069781E"/>
    <w:rsid w:val="006A1CF4"/>
    <w:rsid w:val="006A3FB4"/>
    <w:rsid w:val="006A4AF7"/>
    <w:rsid w:val="006A4B58"/>
    <w:rsid w:val="006A511F"/>
    <w:rsid w:val="006A5C23"/>
    <w:rsid w:val="006B465F"/>
    <w:rsid w:val="006B4743"/>
    <w:rsid w:val="006B7B4D"/>
    <w:rsid w:val="006D019E"/>
    <w:rsid w:val="006D7081"/>
    <w:rsid w:val="006E1124"/>
    <w:rsid w:val="006E6585"/>
    <w:rsid w:val="006E7D3B"/>
    <w:rsid w:val="006F200B"/>
    <w:rsid w:val="006F22BD"/>
    <w:rsid w:val="006F49F3"/>
    <w:rsid w:val="006F6CED"/>
    <w:rsid w:val="00702DA8"/>
    <w:rsid w:val="0070722E"/>
    <w:rsid w:val="007100D8"/>
    <w:rsid w:val="00714C2D"/>
    <w:rsid w:val="007150CF"/>
    <w:rsid w:val="00717CA7"/>
    <w:rsid w:val="00723A8F"/>
    <w:rsid w:val="00730F54"/>
    <w:rsid w:val="00732417"/>
    <w:rsid w:val="00741145"/>
    <w:rsid w:val="00747478"/>
    <w:rsid w:val="00752D12"/>
    <w:rsid w:val="00753E21"/>
    <w:rsid w:val="00755990"/>
    <w:rsid w:val="00755F92"/>
    <w:rsid w:val="00756366"/>
    <w:rsid w:val="00756810"/>
    <w:rsid w:val="00757752"/>
    <w:rsid w:val="00757A39"/>
    <w:rsid w:val="00763470"/>
    <w:rsid w:val="0076689B"/>
    <w:rsid w:val="007709AF"/>
    <w:rsid w:val="007737C5"/>
    <w:rsid w:val="00776B36"/>
    <w:rsid w:val="007771BA"/>
    <w:rsid w:val="00777BD3"/>
    <w:rsid w:val="00780371"/>
    <w:rsid w:val="00781C53"/>
    <w:rsid w:val="00781D4F"/>
    <w:rsid w:val="007852E6"/>
    <w:rsid w:val="00785FBD"/>
    <w:rsid w:val="007873F2"/>
    <w:rsid w:val="00793FEB"/>
    <w:rsid w:val="0079562F"/>
    <w:rsid w:val="007972FB"/>
    <w:rsid w:val="007A50D1"/>
    <w:rsid w:val="007B2D3D"/>
    <w:rsid w:val="007B3570"/>
    <w:rsid w:val="007B5D3F"/>
    <w:rsid w:val="007B7962"/>
    <w:rsid w:val="007C044A"/>
    <w:rsid w:val="007C5510"/>
    <w:rsid w:val="007D06AC"/>
    <w:rsid w:val="007D2075"/>
    <w:rsid w:val="007D3A39"/>
    <w:rsid w:val="007D61A2"/>
    <w:rsid w:val="007E371D"/>
    <w:rsid w:val="007E5476"/>
    <w:rsid w:val="007F2DAE"/>
    <w:rsid w:val="007F3588"/>
    <w:rsid w:val="007F401B"/>
    <w:rsid w:val="007F4BFD"/>
    <w:rsid w:val="0080233A"/>
    <w:rsid w:val="00802E95"/>
    <w:rsid w:val="00810CB5"/>
    <w:rsid w:val="00813FE5"/>
    <w:rsid w:val="008171EF"/>
    <w:rsid w:val="008208AE"/>
    <w:rsid w:val="00820DF2"/>
    <w:rsid w:val="00830A31"/>
    <w:rsid w:val="0083750B"/>
    <w:rsid w:val="00843348"/>
    <w:rsid w:val="00846966"/>
    <w:rsid w:val="00847F4E"/>
    <w:rsid w:val="0085028A"/>
    <w:rsid w:val="00854168"/>
    <w:rsid w:val="00861FEE"/>
    <w:rsid w:val="00862945"/>
    <w:rsid w:val="00873052"/>
    <w:rsid w:val="008835C6"/>
    <w:rsid w:val="008877E9"/>
    <w:rsid w:val="0089023D"/>
    <w:rsid w:val="008A470E"/>
    <w:rsid w:val="008A7C37"/>
    <w:rsid w:val="008B1170"/>
    <w:rsid w:val="008B223E"/>
    <w:rsid w:val="008B30B1"/>
    <w:rsid w:val="008C09E8"/>
    <w:rsid w:val="008C6B7A"/>
    <w:rsid w:val="008C6DCD"/>
    <w:rsid w:val="008D01AB"/>
    <w:rsid w:val="008D0C7F"/>
    <w:rsid w:val="008D2230"/>
    <w:rsid w:val="008D4008"/>
    <w:rsid w:val="008D6017"/>
    <w:rsid w:val="008E1A43"/>
    <w:rsid w:val="008E3D1D"/>
    <w:rsid w:val="008F0724"/>
    <w:rsid w:val="008F1C0F"/>
    <w:rsid w:val="008F2AB3"/>
    <w:rsid w:val="008F4E03"/>
    <w:rsid w:val="009014D1"/>
    <w:rsid w:val="00903B35"/>
    <w:rsid w:val="00913D08"/>
    <w:rsid w:val="00915336"/>
    <w:rsid w:val="00917E8E"/>
    <w:rsid w:val="00921A45"/>
    <w:rsid w:val="009249FE"/>
    <w:rsid w:val="00932BA9"/>
    <w:rsid w:val="00933F1E"/>
    <w:rsid w:val="0093556F"/>
    <w:rsid w:val="00935DC2"/>
    <w:rsid w:val="009406C1"/>
    <w:rsid w:val="00941EF4"/>
    <w:rsid w:val="0094443B"/>
    <w:rsid w:val="00947C94"/>
    <w:rsid w:val="0095433B"/>
    <w:rsid w:val="0095464D"/>
    <w:rsid w:val="009552F5"/>
    <w:rsid w:val="0095578F"/>
    <w:rsid w:val="00955B64"/>
    <w:rsid w:val="009569C0"/>
    <w:rsid w:val="009608C0"/>
    <w:rsid w:val="009629B5"/>
    <w:rsid w:val="009666E5"/>
    <w:rsid w:val="00967297"/>
    <w:rsid w:val="00971D07"/>
    <w:rsid w:val="00974DE4"/>
    <w:rsid w:val="00974FFC"/>
    <w:rsid w:val="00976B74"/>
    <w:rsid w:val="00976EFB"/>
    <w:rsid w:val="00977E73"/>
    <w:rsid w:val="00981BEC"/>
    <w:rsid w:val="00982F3B"/>
    <w:rsid w:val="00983893"/>
    <w:rsid w:val="009932F0"/>
    <w:rsid w:val="009948C9"/>
    <w:rsid w:val="009960F1"/>
    <w:rsid w:val="009A464D"/>
    <w:rsid w:val="009A5CB9"/>
    <w:rsid w:val="009B14D6"/>
    <w:rsid w:val="009B2722"/>
    <w:rsid w:val="009B2D31"/>
    <w:rsid w:val="009B2FCE"/>
    <w:rsid w:val="009B35A5"/>
    <w:rsid w:val="009B4887"/>
    <w:rsid w:val="009C0D4B"/>
    <w:rsid w:val="009C0DC0"/>
    <w:rsid w:val="009C3056"/>
    <w:rsid w:val="009C5F8A"/>
    <w:rsid w:val="009C7FBC"/>
    <w:rsid w:val="009D3FB1"/>
    <w:rsid w:val="009E2C56"/>
    <w:rsid w:val="009E5E6F"/>
    <w:rsid w:val="009E7C9B"/>
    <w:rsid w:val="009F0C9F"/>
    <w:rsid w:val="009F10B5"/>
    <w:rsid w:val="009F4753"/>
    <w:rsid w:val="009F6477"/>
    <w:rsid w:val="009F7C2E"/>
    <w:rsid w:val="00A000D8"/>
    <w:rsid w:val="00A0024C"/>
    <w:rsid w:val="00A06BB6"/>
    <w:rsid w:val="00A07991"/>
    <w:rsid w:val="00A132F1"/>
    <w:rsid w:val="00A13ED0"/>
    <w:rsid w:val="00A142DF"/>
    <w:rsid w:val="00A162C3"/>
    <w:rsid w:val="00A16F41"/>
    <w:rsid w:val="00A17462"/>
    <w:rsid w:val="00A17606"/>
    <w:rsid w:val="00A22024"/>
    <w:rsid w:val="00A25376"/>
    <w:rsid w:val="00A255D9"/>
    <w:rsid w:val="00A257AE"/>
    <w:rsid w:val="00A307C4"/>
    <w:rsid w:val="00A32436"/>
    <w:rsid w:val="00A327B9"/>
    <w:rsid w:val="00A33637"/>
    <w:rsid w:val="00A36C51"/>
    <w:rsid w:val="00A4063E"/>
    <w:rsid w:val="00A42831"/>
    <w:rsid w:val="00A44D11"/>
    <w:rsid w:val="00A536E7"/>
    <w:rsid w:val="00A53D71"/>
    <w:rsid w:val="00A56AF2"/>
    <w:rsid w:val="00A56DA0"/>
    <w:rsid w:val="00A6327C"/>
    <w:rsid w:val="00A66425"/>
    <w:rsid w:val="00A67AE9"/>
    <w:rsid w:val="00A700F1"/>
    <w:rsid w:val="00A72789"/>
    <w:rsid w:val="00A763D3"/>
    <w:rsid w:val="00A77FF1"/>
    <w:rsid w:val="00A82957"/>
    <w:rsid w:val="00A84771"/>
    <w:rsid w:val="00A9030B"/>
    <w:rsid w:val="00AA156E"/>
    <w:rsid w:val="00AA7985"/>
    <w:rsid w:val="00AB16AE"/>
    <w:rsid w:val="00AB2D86"/>
    <w:rsid w:val="00AB5378"/>
    <w:rsid w:val="00AC7104"/>
    <w:rsid w:val="00AD03E4"/>
    <w:rsid w:val="00AD2B5F"/>
    <w:rsid w:val="00AD5115"/>
    <w:rsid w:val="00AD5689"/>
    <w:rsid w:val="00AD5D0E"/>
    <w:rsid w:val="00AD72E1"/>
    <w:rsid w:val="00AE097D"/>
    <w:rsid w:val="00AE1AA7"/>
    <w:rsid w:val="00AE5453"/>
    <w:rsid w:val="00AF0395"/>
    <w:rsid w:val="00AF4652"/>
    <w:rsid w:val="00AF686A"/>
    <w:rsid w:val="00B03327"/>
    <w:rsid w:val="00B03B20"/>
    <w:rsid w:val="00B068D9"/>
    <w:rsid w:val="00B174A6"/>
    <w:rsid w:val="00B175A2"/>
    <w:rsid w:val="00B2393F"/>
    <w:rsid w:val="00B242D6"/>
    <w:rsid w:val="00B266D3"/>
    <w:rsid w:val="00B37835"/>
    <w:rsid w:val="00B40226"/>
    <w:rsid w:val="00B41BAA"/>
    <w:rsid w:val="00B451DA"/>
    <w:rsid w:val="00B454DD"/>
    <w:rsid w:val="00B50F23"/>
    <w:rsid w:val="00B5132B"/>
    <w:rsid w:val="00B535E7"/>
    <w:rsid w:val="00B53CC5"/>
    <w:rsid w:val="00B56AC2"/>
    <w:rsid w:val="00B56DD3"/>
    <w:rsid w:val="00B5743A"/>
    <w:rsid w:val="00B6062B"/>
    <w:rsid w:val="00B62FE9"/>
    <w:rsid w:val="00B677DD"/>
    <w:rsid w:val="00B72120"/>
    <w:rsid w:val="00B74D4D"/>
    <w:rsid w:val="00B76262"/>
    <w:rsid w:val="00B841CA"/>
    <w:rsid w:val="00B87291"/>
    <w:rsid w:val="00B93B63"/>
    <w:rsid w:val="00B94AA4"/>
    <w:rsid w:val="00B97168"/>
    <w:rsid w:val="00BA174F"/>
    <w:rsid w:val="00BA214E"/>
    <w:rsid w:val="00BB2057"/>
    <w:rsid w:val="00BB5DC5"/>
    <w:rsid w:val="00BC05F0"/>
    <w:rsid w:val="00BC6E90"/>
    <w:rsid w:val="00BD1ECB"/>
    <w:rsid w:val="00BE25CE"/>
    <w:rsid w:val="00BF30C9"/>
    <w:rsid w:val="00BF5F76"/>
    <w:rsid w:val="00BF6720"/>
    <w:rsid w:val="00C00D26"/>
    <w:rsid w:val="00C0220E"/>
    <w:rsid w:val="00C0454B"/>
    <w:rsid w:val="00C13023"/>
    <w:rsid w:val="00C23A0D"/>
    <w:rsid w:val="00C3166F"/>
    <w:rsid w:val="00C47201"/>
    <w:rsid w:val="00C477A8"/>
    <w:rsid w:val="00C55503"/>
    <w:rsid w:val="00C57A53"/>
    <w:rsid w:val="00C57EA2"/>
    <w:rsid w:val="00C60815"/>
    <w:rsid w:val="00C60FF9"/>
    <w:rsid w:val="00C622C2"/>
    <w:rsid w:val="00C63C6F"/>
    <w:rsid w:val="00C653C4"/>
    <w:rsid w:val="00C65A83"/>
    <w:rsid w:val="00C70786"/>
    <w:rsid w:val="00C70B3B"/>
    <w:rsid w:val="00C7344F"/>
    <w:rsid w:val="00C73756"/>
    <w:rsid w:val="00C76623"/>
    <w:rsid w:val="00C806B3"/>
    <w:rsid w:val="00C82121"/>
    <w:rsid w:val="00C846B8"/>
    <w:rsid w:val="00C84732"/>
    <w:rsid w:val="00C877AA"/>
    <w:rsid w:val="00C91184"/>
    <w:rsid w:val="00C93CAF"/>
    <w:rsid w:val="00C96979"/>
    <w:rsid w:val="00C973E7"/>
    <w:rsid w:val="00CA5D23"/>
    <w:rsid w:val="00CB214F"/>
    <w:rsid w:val="00CB61B4"/>
    <w:rsid w:val="00CC5A90"/>
    <w:rsid w:val="00CD1052"/>
    <w:rsid w:val="00CD2E8D"/>
    <w:rsid w:val="00CD71FF"/>
    <w:rsid w:val="00CE550D"/>
    <w:rsid w:val="00CF19FF"/>
    <w:rsid w:val="00CF1A21"/>
    <w:rsid w:val="00CF27A7"/>
    <w:rsid w:val="00CF6E07"/>
    <w:rsid w:val="00D03156"/>
    <w:rsid w:val="00D03745"/>
    <w:rsid w:val="00D058FC"/>
    <w:rsid w:val="00D07DF3"/>
    <w:rsid w:val="00D13648"/>
    <w:rsid w:val="00D20EED"/>
    <w:rsid w:val="00D21B56"/>
    <w:rsid w:val="00D239B5"/>
    <w:rsid w:val="00D27202"/>
    <w:rsid w:val="00D27A3A"/>
    <w:rsid w:val="00D32E95"/>
    <w:rsid w:val="00D34E39"/>
    <w:rsid w:val="00D353D1"/>
    <w:rsid w:val="00D43426"/>
    <w:rsid w:val="00D44E0A"/>
    <w:rsid w:val="00D47036"/>
    <w:rsid w:val="00D5316E"/>
    <w:rsid w:val="00D5449D"/>
    <w:rsid w:val="00D61958"/>
    <w:rsid w:val="00D62527"/>
    <w:rsid w:val="00D63595"/>
    <w:rsid w:val="00D63B84"/>
    <w:rsid w:val="00D663EE"/>
    <w:rsid w:val="00D7076C"/>
    <w:rsid w:val="00D72696"/>
    <w:rsid w:val="00D778CE"/>
    <w:rsid w:val="00D80FB0"/>
    <w:rsid w:val="00D82FDB"/>
    <w:rsid w:val="00D845A4"/>
    <w:rsid w:val="00D84F70"/>
    <w:rsid w:val="00D901D5"/>
    <w:rsid w:val="00D923DF"/>
    <w:rsid w:val="00D92B30"/>
    <w:rsid w:val="00D9689F"/>
    <w:rsid w:val="00DA1615"/>
    <w:rsid w:val="00DA7FBD"/>
    <w:rsid w:val="00DB00EC"/>
    <w:rsid w:val="00DC3400"/>
    <w:rsid w:val="00DC5950"/>
    <w:rsid w:val="00DD13B4"/>
    <w:rsid w:val="00DD32C1"/>
    <w:rsid w:val="00DD6D93"/>
    <w:rsid w:val="00DD7B0D"/>
    <w:rsid w:val="00DE242E"/>
    <w:rsid w:val="00DE2EA8"/>
    <w:rsid w:val="00DE4448"/>
    <w:rsid w:val="00DE4F1C"/>
    <w:rsid w:val="00DE597C"/>
    <w:rsid w:val="00E00475"/>
    <w:rsid w:val="00E0160A"/>
    <w:rsid w:val="00E03381"/>
    <w:rsid w:val="00E03BBB"/>
    <w:rsid w:val="00E04678"/>
    <w:rsid w:val="00E12A7F"/>
    <w:rsid w:val="00E13486"/>
    <w:rsid w:val="00E169CD"/>
    <w:rsid w:val="00E16B8A"/>
    <w:rsid w:val="00E1702B"/>
    <w:rsid w:val="00E22949"/>
    <w:rsid w:val="00E24258"/>
    <w:rsid w:val="00E323F7"/>
    <w:rsid w:val="00E34BEE"/>
    <w:rsid w:val="00E403FC"/>
    <w:rsid w:val="00E404D1"/>
    <w:rsid w:val="00E42C8F"/>
    <w:rsid w:val="00E445E8"/>
    <w:rsid w:val="00E44EBE"/>
    <w:rsid w:val="00E47563"/>
    <w:rsid w:val="00E55E68"/>
    <w:rsid w:val="00E6047C"/>
    <w:rsid w:val="00E61644"/>
    <w:rsid w:val="00E62CAE"/>
    <w:rsid w:val="00E657DA"/>
    <w:rsid w:val="00E65F97"/>
    <w:rsid w:val="00E66FBD"/>
    <w:rsid w:val="00E71CC1"/>
    <w:rsid w:val="00E7320E"/>
    <w:rsid w:val="00E75836"/>
    <w:rsid w:val="00E76471"/>
    <w:rsid w:val="00E771B8"/>
    <w:rsid w:val="00E77628"/>
    <w:rsid w:val="00E84136"/>
    <w:rsid w:val="00E85834"/>
    <w:rsid w:val="00E87F0A"/>
    <w:rsid w:val="00E92BA4"/>
    <w:rsid w:val="00E9784B"/>
    <w:rsid w:val="00EA0CB3"/>
    <w:rsid w:val="00EA13EF"/>
    <w:rsid w:val="00EA5513"/>
    <w:rsid w:val="00EA5F08"/>
    <w:rsid w:val="00EA7AD5"/>
    <w:rsid w:val="00EB056F"/>
    <w:rsid w:val="00EB1C3A"/>
    <w:rsid w:val="00EB475B"/>
    <w:rsid w:val="00EB6080"/>
    <w:rsid w:val="00EB60B2"/>
    <w:rsid w:val="00EB68C3"/>
    <w:rsid w:val="00EB7E33"/>
    <w:rsid w:val="00EC0449"/>
    <w:rsid w:val="00EC1A55"/>
    <w:rsid w:val="00EC1AC2"/>
    <w:rsid w:val="00EC4AA3"/>
    <w:rsid w:val="00EC6284"/>
    <w:rsid w:val="00ED0F51"/>
    <w:rsid w:val="00ED15AB"/>
    <w:rsid w:val="00ED478C"/>
    <w:rsid w:val="00ED5EB6"/>
    <w:rsid w:val="00ED740A"/>
    <w:rsid w:val="00EE5302"/>
    <w:rsid w:val="00EE5CBD"/>
    <w:rsid w:val="00EE69EB"/>
    <w:rsid w:val="00EF0AC0"/>
    <w:rsid w:val="00EF38DB"/>
    <w:rsid w:val="00EF39DB"/>
    <w:rsid w:val="00EF5B44"/>
    <w:rsid w:val="00EF6B8C"/>
    <w:rsid w:val="00EF6C9F"/>
    <w:rsid w:val="00EF79A2"/>
    <w:rsid w:val="00F02FC2"/>
    <w:rsid w:val="00F03F15"/>
    <w:rsid w:val="00F114FF"/>
    <w:rsid w:val="00F12DAA"/>
    <w:rsid w:val="00F221F2"/>
    <w:rsid w:val="00F22DD1"/>
    <w:rsid w:val="00F30807"/>
    <w:rsid w:val="00F31625"/>
    <w:rsid w:val="00F316E3"/>
    <w:rsid w:val="00F36512"/>
    <w:rsid w:val="00F36DF8"/>
    <w:rsid w:val="00F420FC"/>
    <w:rsid w:val="00F42E08"/>
    <w:rsid w:val="00F433A8"/>
    <w:rsid w:val="00F4498B"/>
    <w:rsid w:val="00F4527E"/>
    <w:rsid w:val="00F47BDF"/>
    <w:rsid w:val="00F47FBD"/>
    <w:rsid w:val="00F504C5"/>
    <w:rsid w:val="00F554A6"/>
    <w:rsid w:val="00F565DE"/>
    <w:rsid w:val="00F56677"/>
    <w:rsid w:val="00F60824"/>
    <w:rsid w:val="00F6473F"/>
    <w:rsid w:val="00F71EBC"/>
    <w:rsid w:val="00F727E0"/>
    <w:rsid w:val="00F834FD"/>
    <w:rsid w:val="00F87BE4"/>
    <w:rsid w:val="00F92783"/>
    <w:rsid w:val="00F935DE"/>
    <w:rsid w:val="00F94BD7"/>
    <w:rsid w:val="00F9733F"/>
    <w:rsid w:val="00FA48E2"/>
    <w:rsid w:val="00FA5690"/>
    <w:rsid w:val="00FA793D"/>
    <w:rsid w:val="00FB52C9"/>
    <w:rsid w:val="00FC2988"/>
    <w:rsid w:val="00FD06C5"/>
    <w:rsid w:val="00FD1BCD"/>
    <w:rsid w:val="00FD2546"/>
    <w:rsid w:val="00FD2547"/>
    <w:rsid w:val="00FD3322"/>
    <w:rsid w:val="00FE6B99"/>
    <w:rsid w:val="00FF1C99"/>
    <w:rsid w:val="00FF1DCA"/>
    <w:rsid w:val="00FF47C1"/>
    <w:rsid w:val="01065E42"/>
    <w:rsid w:val="013E61E2"/>
    <w:rsid w:val="01431A4A"/>
    <w:rsid w:val="015E6884"/>
    <w:rsid w:val="01637227"/>
    <w:rsid w:val="017E0CD4"/>
    <w:rsid w:val="01830099"/>
    <w:rsid w:val="018B23DF"/>
    <w:rsid w:val="01B46574"/>
    <w:rsid w:val="01BF6BC8"/>
    <w:rsid w:val="01C53E30"/>
    <w:rsid w:val="025F0B06"/>
    <w:rsid w:val="02741EBF"/>
    <w:rsid w:val="027520D7"/>
    <w:rsid w:val="0295339B"/>
    <w:rsid w:val="02A91D81"/>
    <w:rsid w:val="02AD32CA"/>
    <w:rsid w:val="02C8406E"/>
    <w:rsid w:val="02CD73A2"/>
    <w:rsid w:val="02E16068"/>
    <w:rsid w:val="02F444B4"/>
    <w:rsid w:val="0337738D"/>
    <w:rsid w:val="037A3D80"/>
    <w:rsid w:val="03C84489"/>
    <w:rsid w:val="03CD1A9F"/>
    <w:rsid w:val="04501303"/>
    <w:rsid w:val="04CB7B80"/>
    <w:rsid w:val="04E46638"/>
    <w:rsid w:val="04E470A0"/>
    <w:rsid w:val="050E155A"/>
    <w:rsid w:val="05234E03"/>
    <w:rsid w:val="05303E6A"/>
    <w:rsid w:val="05341E77"/>
    <w:rsid w:val="05393890"/>
    <w:rsid w:val="05860158"/>
    <w:rsid w:val="06450013"/>
    <w:rsid w:val="06451DC1"/>
    <w:rsid w:val="068428E9"/>
    <w:rsid w:val="06931662"/>
    <w:rsid w:val="06B80C4F"/>
    <w:rsid w:val="06BA455D"/>
    <w:rsid w:val="06D86211"/>
    <w:rsid w:val="06E52E9C"/>
    <w:rsid w:val="06E9219D"/>
    <w:rsid w:val="0713646E"/>
    <w:rsid w:val="07427224"/>
    <w:rsid w:val="074327A4"/>
    <w:rsid w:val="07A70F85"/>
    <w:rsid w:val="07B72717"/>
    <w:rsid w:val="07BC4304"/>
    <w:rsid w:val="084762C4"/>
    <w:rsid w:val="084954A1"/>
    <w:rsid w:val="087D1CE6"/>
    <w:rsid w:val="08B83968"/>
    <w:rsid w:val="08C74B52"/>
    <w:rsid w:val="09320D22"/>
    <w:rsid w:val="093645B1"/>
    <w:rsid w:val="09497E1A"/>
    <w:rsid w:val="0955056D"/>
    <w:rsid w:val="09605504"/>
    <w:rsid w:val="098826F0"/>
    <w:rsid w:val="09A37E24"/>
    <w:rsid w:val="0A3C52AF"/>
    <w:rsid w:val="0A4E393A"/>
    <w:rsid w:val="0A570314"/>
    <w:rsid w:val="0AC21C32"/>
    <w:rsid w:val="0AFF2E86"/>
    <w:rsid w:val="0B3B5FBA"/>
    <w:rsid w:val="0B6A752E"/>
    <w:rsid w:val="0B6F2FA8"/>
    <w:rsid w:val="0B7A250D"/>
    <w:rsid w:val="0BAA1044"/>
    <w:rsid w:val="0BCF2858"/>
    <w:rsid w:val="0BE5207C"/>
    <w:rsid w:val="0BF40D5C"/>
    <w:rsid w:val="0C006EB6"/>
    <w:rsid w:val="0C060244"/>
    <w:rsid w:val="0C6C62F9"/>
    <w:rsid w:val="0C8B32C7"/>
    <w:rsid w:val="0CAC3B50"/>
    <w:rsid w:val="0D02216C"/>
    <w:rsid w:val="0D031F2A"/>
    <w:rsid w:val="0D215336"/>
    <w:rsid w:val="0D305579"/>
    <w:rsid w:val="0D704CA5"/>
    <w:rsid w:val="0DB41C7D"/>
    <w:rsid w:val="0DCF7097"/>
    <w:rsid w:val="0DD01AF1"/>
    <w:rsid w:val="0DD26D65"/>
    <w:rsid w:val="0E3C7F4D"/>
    <w:rsid w:val="0E7C7DB8"/>
    <w:rsid w:val="0EAC0C2F"/>
    <w:rsid w:val="0EC75A69"/>
    <w:rsid w:val="0EF50331"/>
    <w:rsid w:val="0F023DFE"/>
    <w:rsid w:val="0F0D3C99"/>
    <w:rsid w:val="0F19784D"/>
    <w:rsid w:val="0FA22032"/>
    <w:rsid w:val="0FC65D20"/>
    <w:rsid w:val="0FC91CB4"/>
    <w:rsid w:val="0FF5258F"/>
    <w:rsid w:val="0FF705D0"/>
    <w:rsid w:val="10256E5E"/>
    <w:rsid w:val="10727C56"/>
    <w:rsid w:val="10765998"/>
    <w:rsid w:val="108005C5"/>
    <w:rsid w:val="10B507A3"/>
    <w:rsid w:val="11114067"/>
    <w:rsid w:val="116B1D07"/>
    <w:rsid w:val="1173105F"/>
    <w:rsid w:val="11B83A07"/>
    <w:rsid w:val="11BD13A5"/>
    <w:rsid w:val="11DD37F5"/>
    <w:rsid w:val="122431D2"/>
    <w:rsid w:val="12303925"/>
    <w:rsid w:val="123D6042"/>
    <w:rsid w:val="125D05FA"/>
    <w:rsid w:val="125F1EEA"/>
    <w:rsid w:val="12993BC0"/>
    <w:rsid w:val="12B96010"/>
    <w:rsid w:val="12F62DC0"/>
    <w:rsid w:val="13367661"/>
    <w:rsid w:val="13651CF4"/>
    <w:rsid w:val="13C27BDE"/>
    <w:rsid w:val="142C2AB3"/>
    <w:rsid w:val="14524621"/>
    <w:rsid w:val="1461070D"/>
    <w:rsid w:val="147541B9"/>
    <w:rsid w:val="14BA1BCC"/>
    <w:rsid w:val="14E22D08"/>
    <w:rsid w:val="150D43F1"/>
    <w:rsid w:val="151632A6"/>
    <w:rsid w:val="152754B3"/>
    <w:rsid w:val="156644E7"/>
    <w:rsid w:val="1571524F"/>
    <w:rsid w:val="15B71635"/>
    <w:rsid w:val="15C94FAC"/>
    <w:rsid w:val="15DA4D14"/>
    <w:rsid w:val="1629525B"/>
    <w:rsid w:val="165737F6"/>
    <w:rsid w:val="16624BED"/>
    <w:rsid w:val="166718DF"/>
    <w:rsid w:val="16BE26F7"/>
    <w:rsid w:val="16F5513D"/>
    <w:rsid w:val="172D0D7B"/>
    <w:rsid w:val="17324FA7"/>
    <w:rsid w:val="17484A5C"/>
    <w:rsid w:val="1763479D"/>
    <w:rsid w:val="176A78D9"/>
    <w:rsid w:val="178A27FE"/>
    <w:rsid w:val="178E3152"/>
    <w:rsid w:val="17B30D49"/>
    <w:rsid w:val="17EF6030"/>
    <w:rsid w:val="181810E3"/>
    <w:rsid w:val="1881137E"/>
    <w:rsid w:val="18842C1C"/>
    <w:rsid w:val="18AB7454"/>
    <w:rsid w:val="18B828C6"/>
    <w:rsid w:val="18FA6017"/>
    <w:rsid w:val="194222A2"/>
    <w:rsid w:val="19701237"/>
    <w:rsid w:val="19761881"/>
    <w:rsid w:val="199E1ABC"/>
    <w:rsid w:val="19B07F4C"/>
    <w:rsid w:val="1A4D7795"/>
    <w:rsid w:val="1A705206"/>
    <w:rsid w:val="1A846F04"/>
    <w:rsid w:val="1A8509E3"/>
    <w:rsid w:val="1AAA4F52"/>
    <w:rsid w:val="1AAE5D2F"/>
    <w:rsid w:val="1AC55BC3"/>
    <w:rsid w:val="1B244243"/>
    <w:rsid w:val="1B490C5F"/>
    <w:rsid w:val="1B7900EB"/>
    <w:rsid w:val="1B9969DF"/>
    <w:rsid w:val="1BBC447B"/>
    <w:rsid w:val="1C166A80"/>
    <w:rsid w:val="1C1E0C92"/>
    <w:rsid w:val="1C3239B9"/>
    <w:rsid w:val="1C907EEF"/>
    <w:rsid w:val="1CE95744"/>
    <w:rsid w:val="1D293D92"/>
    <w:rsid w:val="1D2B3667"/>
    <w:rsid w:val="1DB74F4D"/>
    <w:rsid w:val="1E0C793C"/>
    <w:rsid w:val="1E14234D"/>
    <w:rsid w:val="1E1D56A5"/>
    <w:rsid w:val="1E302D06"/>
    <w:rsid w:val="1ECA6EAF"/>
    <w:rsid w:val="1EE53CE9"/>
    <w:rsid w:val="1F4E7AE0"/>
    <w:rsid w:val="1FFC10A4"/>
    <w:rsid w:val="1FFC578E"/>
    <w:rsid w:val="206E1E82"/>
    <w:rsid w:val="20B322F1"/>
    <w:rsid w:val="20C22534"/>
    <w:rsid w:val="21183C0B"/>
    <w:rsid w:val="21300B4E"/>
    <w:rsid w:val="216B481E"/>
    <w:rsid w:val="21AB2298"/>
    <w:rsid w:val="21AB746C"/>
    <w:rsid w:val="21BB449B"/>
    <w:rsid w:val="21EA58C8"/>
    <w:rsid w:val="21F20BC3"/>
    <w:rsid w:val="220B1DE3"/>
    <w:rsid w:val="22266AF2"/>
    <w:rsid w:val="229C0B63"/>
    <w:rsid w:val="22C47BC7"/>
    <w:rsid w:val="22FD5AA5"/>
    <w:rsid w:val="2342795C"/>
    <w:rsid w:val="237D2742"/>
    <w:rsid w:val="23A949D8"/>
    <w:rsid w:val="24371ADE"/>
    <w:rsid w:val="244E188F"/>
    <w:rsid w:val="24681644"/>
    <w:rsid w:val="267C4F33"/>
    <w:rsid w:val="26867B60"/>
    <w:rsid w:val="268F4F93"/>
    <w:rsid w:val="269663A8"/>
    <w:rsid w:val="26C1503C"/>
    <w:rsid w:val="26F73072"/>
    <w:rsid w:val="27026D12"/>
    <w:rsid w:val="270D202F"/>
    <w:rsid w:val="271B2D57"/>
    <w:rsid w:val="27BA1634"/>
    <w:rsid w:val="27E92A9C"/>
    <w:rsid w:val="27FF0727"/>
    <w:rsid w:val="2895453F"/>
    <w:rsid w:val="2900009D"/>
    <w:rsid w:val="296556B6"/>
    <w:rsid w:val="296879F1"/>
    <w:rsid w:val="298C7B83"/>
    <w:rsid w:val="29A22F02"/>
    <w:rsid w:val="29D82DC8"/>
    <w:rsid w:val="29FF2103"/>
    <w:rsid w:val="2A0C110B"/>
    <w:rsid w:val="2A17569E"/>
    <w:rsid w:val="2A225DF1"/>
    <w:rsid w:val="2A391AB9"/>
    <w:rsid w:val="2A783C63"/>
    <w:rsid w:val="2A862956"/>
    <w:rsid w:val="2A8E16D9"/>
    <w:rsid w:val="2AC62C21"/>
    <w:rsid w:val="2AD924CA"/>
    <w:rsid w:val="2B7D46AF"/>
    <w:rsid w:val="2B8A00F2"/>
    <w:rsid w:val="2C302A48"/>
    <w:rsid w:val="2C7E5FEB"/>
    <w:rsid w:val="2CDB2211"/>
    <w:rsid w:val="2CF63C91"/>
    <w:rsid w:val="2D7339BD"/>
    <w:rsid w:val="2E586286"/>
    <w:rsid w:val="2F0B154A"/>
    <w:rsid w:val="2F233B9F"/>
    <w:rsid w:val="2F61477C"/>
    <w:rsid w:val="2F7405EE"/>
    <w:rsid w:val="30030473"/>
    <w:rsid w:val="30805724"/>
    <w:rsid w:val="30D616E4"/>
    <w:rsid w:val="30E81B43"/>
    <w:rsid w:val="31122A3D"/>
    <w:rsid w:val="31271F3F"/>
    <w:rsid w:val="316E7B6E"/>
    <w:rsid w:val="31EB11BF"/>
    <w:rsid w:val="322748ED"/>
    <w:rsid w:val="32413238"/>
    <w:rsid w:val="32B048E2"/>
    <w:rsid w:val="32C043F9"/>
    <w:rsid w:val="32DC7485"/>
    <w:rsid w:val="332E00DF"/>
    <w:rsid w:val="336B6AD6"/>
    <w:rsid w:val="33705E1F"/>
    <w:rsid w:val="33CD6DCE"/>
    <w:rsid w:val="33CF6FEA"/>
    <w:rsid w:val="33D4015C"/>
    <w:rsid w:val="33DB0197"/>
    <w:rsid w:val="3486722C"/>
    <w:rsid w:val="34C209B8"/>
    <w:rsid w:val="35270760"/>
    <w:rsid w:val="3538296D"/>
    <w:rsid w:val="35493B50"/>
    <w:rsid w:val="35842328"/>
    <w:rsid w:val="35940BA8"/>
    <w:rsid w:val="35A74869"/>
    <w:rsid w:val="35B357AD"/>
    <w:rsid w:val="35D47B2A"/>
    <w:rsid w:val="35D95EFE"/>
    <w:rsid w:val="35E56419"/>
    <w:rsid w:val="361D75FB"/>
    <w:rsid w:val="365D08DD"/>
    <w:rsid w:val="36914A2B"/>
    <w:rsid w:val="36A439FC"/>
    <w:rsid w:val="36BC6F7C"/>
    <w:rsid w:val="37040D59"/>
    <w:rsid w:val="374636E8"/>
    <w:rsid w:val="3793032E"/>
    <w:rsid w:val="37CD4A2D"/>
    <w:rsid w:val="37D7646D"/>
    <w:rsid w:val="37F41D07"/>
    <w:rsid w:val="37F83D4F"/>
    <w:rsid w:val="38190834"/>
    <w:rsid w:val="386B4E07"/>
    <w:rsid w:val="38BD1B07"/>
    <w:rsid w:val="38C75A14"/>
    <w:rsid w:val="38CA6E75"/>
    <w:rsid w:val="38D46E50"/>
    <w:rsid w:val="38E42223"/>
    <w:rsid w:val="393C47C4"/>
    <w:rsid w:val="396150B4"/>
    <w:rsid w:val="397A79F8"/>
    <w:rsid w:val="397D1988"/>
    <w:rsid w:val="398D772B"/>
    <w:rsid w:val="39D67EFE"/>
    <w:rsid w:val="3ACE07FD"/>
    <w:rsid w:val="3B5A363D"/>
    <w:rsid w:val="3B5E3171"/>
    <w:rsid w:val="3BA448B8"/>
    <w:rsid w:val="3BB865B6"/>
    <w:rsid w:val="3BD55623"/>
    <w:rsid w:val="3BDB5D77"/>
    <w:rsid w:val="3BEE0229"/>
    <w:rsid w:val="3C681D8A"/>
    <w:rsid w:val="3CA052BA"/>
    <w:rsid w:val="3CB72D11"/>
    <w:rsid w:val="3CB80EBB"/>
    <w:rsid w:val="3CC61931"/>
    <w:rsid w:val="3CE33B06"/>
    <w:rsid w:val="3D0D46DF"/>
    <w:rsid w:val="3D22462E"/>
    <w:rsid w:val="3D3A1978"/>
    <w:rsid w:val="3D87623F"/>
    <w:rsid w:val="3D9F3D0F"/>
    <w:rsid w:val="3DF5C06C"/>
    <w:rsid w:val="3E133F77"/>
    <w:rsid w:val="3EB017C6"/>
    <w:rsid w:val="3EB63280"/>
    <w:rsid w:val="3ECA77E5"/>
    <w:rsid w:val="3EE31B9B"/>
    <w:rsid w:val="3F03223E"/>
    <w:rsid w:val="3F346EDE"/>
    <w:rsid w:val="3F42757A"/>
    <w:rsid w:val="3F4E581B"/>
    <w:rsid w:val="3F644181"/>
    <w:rsid w:val="3F7E74FA"/>
    <w:rsid w:val="3F9B2F92"/>
    <w:rsid w:val="3FD23641"/>
    <w:rsid w:val="3FE61943"/>
    <w:rsid w:val="40503261"/>
    <w:rsid w:val="407D392A"/>
    <w:rsid w:val="4080519A"/>
    <w:rsid w:val="408D0B79"/>
    <w:rsid w:val="409E3FCC"/>
    <w:rsid w:val="41126768"/>
    <w:rsid w:val="41166258"/>
    <w:rsid w:val="41C51A2C"/>
    <w:rsid w:val="41EC0D67"/>
    <w:rsid w:val="423E5B27"/>
    <w:rsid w:val="42813BA5"/>
    <w:rsid w:val="42A45AE6"/>
    <w:rsid w:val="43170066"/>
    <w:rsid w:val="432136AC"/>
    <w:rsid w:val="43666911"/>
    <w:rsid w:val="43B9736F"/>
    <w:rsid w:val="43CE1A81"/>
    <w:rsid w:val="43DE2931"/>
    <w:rsid w:val="43F63ADC"/>
    <w:rsid w:val="44016423"/>
    <w:rsid w:val="44554EA2"/>
    <w:rsid w:val="447121E9"/>
    <w:rsid w:val="44E421C9"/>
    <w:rsid w:val="4549474B"/>
    <w:rsid w:val="457A3AA8"/>
    <w:rsid w:val="457C0654"/>
    <w:rsid w:val="458A0FC3"/>
    <w:rsid w:val="458D5460"/>
    <w:rsid w:val="45AE676A"/>
    <w:rsid w:val="45DB537A"/>
    <w:rsid w:val="45EA7CB3"/>
    <w:rsid w:val="45FF375F"/>
    <w:rsid w:val="460F14C8"/>
    <w:rsid w:val="461D3BE5"/>
    <w:rsid w:val="463B406B"/>
    <w:rsid w:val="467001B9"/>
    <w:rsid w:val="46715CDF"/>
    <w:rsid w:val="4755039C"/>
    <w:rsid w:val="47777325"/>
    <w:rsid w:val="478657BA"/>
    <w:rsid w:val="48043FED"/>
    <w:rsid w:val="482B4D74"/>
    <w:rsid w:val="484C6A03"/>
    <w:rsid w:val="487D6BBD"/>
    <w:rsid w:val="48861F15"/>
    <w:rsid w:val="48EC3D42"/>
    <w:rsid w:val="48F50E49"/>
    <w:rsid w:val="490B41C9"/>
    <w:rsid w:val="49122C56"/>
    <w:rsid w:val="49667651"/>
    <w:rsid w:val="49CB5832"/>
    <w:rsid w:val="4A282B58"/>
    <w:rsid w:val="4A7E09CA"/>
    <w:rsid w:val="4AA4190C"/>
    <w:rsid w:val="4B1307D7"/>
    <w:rsid w:val="4B1959DE"/>
    <w:rsid w:val="4C447326"/>
    <w:rsid w:val="4C72455F"/>
    <w:rsid w:val="4CA44A39"/>
    <w:rsid w:val="4CE6240A"/>
    <w:rsid w:val="4CEA49ED"/>
    <w:rsid w:val="4D41199A"/>
    <w:rsid w:val="4D810EF9"/>
    <w:rsid w:val="4D93478D"/>
    <w:rsid w:val="4D9505C5"/>
    <w:rsid w:val="4E1072E2"/>
    <w:rsid w:val="4E524648"/>
    <w:rsid w:val="4E562A74"/>
    <w:rsid w:val="4E5A5B81"/>
    <w:rsid w:val="4E6F1BA8"/>
    <w:rsid w:val="4EAE33B1"/>
    <w:rsid w:val="4EB57E38"/>
    <w:rsid w:val="4EF676C9"/>
    <w:rsid w:val="4F072754"/>
    <w:rsid w:val="4F1B712F"/>
    <w:rsid w:val="4F2002A2"/>
    <w:rsid w:val="4F585E52"/>
    <w:rsid w:val="4F5B752C"/>
    <w:rsid w:val="4F870321"/>
    <w:rsid w:val="4FA723AD"/>
    <w:rsid w:val="4FAE58AE"/>
    <w:rsid w:val="4FBA06F6"/>
    <w:rsid w:val="4FC36C82"/>
    <w:rsid w:val="501E6ED7"/>
    <w:rsid w:val="505962D0"/>
    <w:rsid w:val="506968FB"/>
    <w:rsid w:val="508B61E1"/>
    <w:rsid w:val="508C3129"/>
    <w:rsid w:val="50D91050"/>
    <w:rsid w:val="50E73FD8"/>
    <w:rsid w:val="510D2AA8"/>
    <w:rsid w:val="512C5624"/>
    <w:rsid w:val="516528E4"/>
    <w:rsid w:val="51BD627C"/>
    <w:rsid w:val="51DD247A"/>
    <w:rsid w:val="52020133"/>
    <w:rsid w:val="522C7AF0"/>
    <w:rsid w:val="52560FD7"/>
    <w:rsid w:val="52756B57"/>
    <w:rsid w:val="52A1794C"/>
    <w:rsid w:val="52D7511B"/>
    <w:rsid w:val="52F67C97"/>
    <w:rsid w:val="539354E6"/>
    <w:rsid w:val="539574B0"/>
    <w:rsid w:val="53A96AB8"/>
    <w:rsid w:val="53F1755C"/>
    <w:rsid w:val="54065CB8"/>
    <w:rsid w:val="543E66C1"/>
    <w:rsid w:val="54422A68"/>
    <w:rsid w:val="545729B8"/>
    <w:rsid w:val="548F2152"/>
    <w:rsid w:val="54C20BF4"/>
    <w:rsid w:val="54E23AF9"/>
    <w:rsid w:val="55050666"/>
    <w:rsid w:val="55967510"/>
    <w:rsid w:val="55BC7417"/>
    <w:rsid w:val="55C61EFD"/>
    <w:rsid w:val="55CE6CAA"/>
    <w:rsid w:val="56E36785"/>
    <w:rsid w:val="56FC7728"/>
    <w:rsid w:val="573D6956"/>
    <w:rsid w:val="57853398"/>
    <w:rsid w:val="57A04676"/>
    <w:rsid w:val="57A8352A"/>
    <w:rsid w:val="57AC301B"/>
    <w:rsid w:val="57F50A1F"/>
    <w:rsid w:val="581C286A"/>
    <w:rsid w:val="584E2170"/>
    <w:rsid w:val="589D6E42"/>
    <w:rsid w:val="58B04765"/>
    <w:rsid w:val="58C12AF6"/>
    <w:rsid w:val="59290CF4"/>
    <w:rsid w:val="59BD4B5F"/>
    <w:rsid w:val="59C4289D"/>
    <w:rsid w:val="5A45552A"/>
    <w:rsid w:val="5A7659B1"/>
    <w:rsid w:val="5A876009"/>
    <w:rsid w:val="5B433C96"/>
    <w:rsid w:val="5B8D3163"/>
    <w:rsid w:val="5BA551B8"/>
    <w:rsid w:val="5BAD751D"/>
    <w:rsid w:val="5BB97AB4"/>
    <w:rsid w:val="5BDD4020"/>
    <w:rsid w:val="5C3830CF"/>
    <w:rsid w:val="5C675762"/>
    <w:rsid w:val="5C69772C"/>
    <w:rsid w:val="5CC65F5C"/>
    <w:rsid w:val="5D391FCE"/>
    <w:rsid w:val="5E3D2B77"/>
    <w:rsid w:val="5E547B43"/>
    <w:rsid w:val="5E5D0BCB"/>
    <w:rsid w:val="5E677C9B"/>
    <w:rsid w:val="5E740E87"/>
    <w:rsid w:val="5E8E328A"/>
    <w:rsid w:val="5F002C5F"/>
    <w:rsid w:val="5F1A4D0E"/>
    <w:rsid w:val="5F2D48BC"/>
    <w:rsid w:val="5F622211"/>
    <w:rsid w:val="601F332A"/>
    <w:rsid w:val="60444037"/>
    <w:rsid w:val="60522285"/>
    <w:rsid w:val="60716BAF"/>
    <w:rsid w:val="607246D5"/>
    <w:rsid w:val="60F8107F"/>
    <w:rsid w:val="610A2B60"/>
    <w:rsid w:val="61412A26"/>
    <w:rsid w:val="6162299C"/>
    <w:rsid w:val="61D417B9"/>
    <w:rsid w:val="626F653F"/>
    <w:rsid w:val="629F1352"/>
    <w:rsid w:val="62A3714C"/>
    <w:rsid w:val="62B72874"/>
    <w:rsid w:val="633511B6"/>
    <w:rsid w:val="633E3938"/>
    <w:rsid w:val="63A30F39"/>
    <w:rsid w:val="63A4104A"/>
    <w:rsid w:val="63B13877"/>
    <w:rsid w:val="63F43DBD"/>
    <w:rsid w:val="64320204"/>
    <w:rsid w:val="643C2928"/>
    <w:rsid w:val="646031C3"/>
    <w:rsid w:val="64CE0D28"/>
    <w:rsid w:val="64D21BE7"/>
    <w:rsid w:val="64EC2CA8"/>
    <w:rsid w:val="65167D25"/>
    <w:rsid w:val="6518584B"/>
    <w:rsid w:val="655B7E2E"/>
    <w:rsid w:val="65A51028"/>
    <w:rsid w:val="65AA362B"/>
    <w:rsid w:val="65FF3763"/>
    <w:rsid w:val="66067D9A"/>
    <w:rsid w:val="66285F62"/>
    <w:rsid w:val="66A03280"/>
    <w:rsid w:val="66AA2EC4"/>
    <w:rsid w:val="66BB0B84"/>
    <w:rsid w:val="66BF76BD"/>
    <w:rsid w:val="66D571E1"/>
    <w:rsid w:val="66FD73EF"/>
    <w:rsid w:val="6707201B"/>
    <w:rsid w:val="671958AB"/>
    <w:rsid w:val="67580AC9"/>
    <w:rsid w:val="678E0047"/>
    <w:rsid w:val="67AB24D6"/>
    <w:rsid w:val="67FD722D"/>
    <w:rsid w:val="6813307A"/>
    <w:rsid w:val="68212C69"/>
    <w:rsid w:val="683C5CF5"/>
    <w:rsid w:val="68994EF5"/>
    <w:rsid w:val="68CA1553"/>
    <w:rsid w:val="68E819D9"/>
    <w:rsid w:val="69026F3E"/>
    <w:rsid w:val="69937B96"/>
    <w:rsid w:val="69A339D9"/>
    <w:rsid w:val="69A578CA"/>
    <w:rsid w:val="69E93349"/>
    <w:rsid w:val="6A457688"/>
    <w:rsid w:val="6A4612BA"/>
    <w:rsid w:val="6A753740"/>
    <w:rsid w:val="6AAE708E"/>
    <w:rsid w:val="6AB64CEC"/>
    <w:rsid w:val="6AC1312A"/>
    <w:rsid w:val="6AD05952"/>
    <w:rsid w:val="6B022D7D"/>
    <w:rsid w:val="6B317667"/>
    <w:rsid w:val="6B721A2E"/>
    <w:rsid w:val="6B792DBC"/>
    <w:rsid w:val="6C0528A2"/>
    <w:rsid w:val="6CBF3BF0"/>
    <w:rsid w:val="6CC91B21"/>
    <w:rsid w:val="6D026587"/>
    <w:rsid w:val="6D12630D"/>
    <w:rsid w:val="6D6D6950"/>
    <w:rsid w:val="6DDF784E"/>
    <w:rsid w:val="6E2039C3"/>
    <w:rsid w:val="6E27182F"/>
    <w:rsid w:val="6E5D4C17"/>
    <w:rsid w:val="6E8B6BDD"/>
    <w:rsid w:val="6F2A1E3D"/>
    <w:rsid w:val="6F952AC4"/>
    <w:rsid w:val="6FF84BF7"/>
    <w:rsid w:val="701A11C1"/>
    <w:rsid w:val="701D7AE5"/>
    <w:rsid w:val="702C2AF3"/>
    <w:rsid w:val="70376D45"/>
    <w:rsid w:val="70733469"/>
    <w:rsid w:val="70761FC0"/>
    <w:rsid w:val="708D61F9"/>
    <w:rsid w:val="70C67B60"/>
    <w:rsid w:val="71110990"/>
    <w:rsid w:val="712E5838"/>
    <w:rsid w:val="717E737E"/>
    <w:rsid w:val="71EB08C4"/>
    <w:rsid w:val="720F447A"/>
    <w:rsid w:val="72261786"/>
    <w:rsid w:val="72636F8A"/>
    <w:rsid w:val="72CC5CF4"/>
    <w:rsid w:val="72E1149C"/>
    <w:rsid w:val="7310515C"/>
    <w:rsid w:val="73411304"/>
    <w:rsid w:val="735760D9"/>
    <w:rsid w:val="738844E4"/>
    <w:rsid w:val="739369E5"/>
    <w:rsid w:val="74077E17"/>
    <w:rsid w:val="74104710"/>
    <w:rsid w:val="74367A9C"/>
    <w:rsid w:val="74600FBD"/>
    <w:rsid w:val="74940C67"/>
    <w:rsid w:val="74A116CF"/>
    <w:rsid w:val="74B60BDD"/>
    <w:rsid w:val="752E4C17"/>
    <w:rsid w:val="7533222E"/>
    <w:rsid w:val="756E5701"/>
    <w:rsid w:val="75DC28C5"/>
    <w:rsid w:val="761756AB"/>
    <w:rsid w:val="765B519F"/>
    <w:rsid w:val="76973A69"/>
    <w:rsid w:val="76D33CC8"/>
    <w:rsid w:val="773641B0"/>
    <w:rsid w:val="77831F31"/>
    <w:rsid w:val="7798281C"/>
    <w:rsid w:val="77FF0787"/>
    <w:rsid w:val="782A7918"/>
    <w:rsid w:val="78564BB1"/>
    <w:rsid w:val="787119EB"/>
    <w:rsid w:val="7879400A"/>
    <w:rsid w:val="78A07BDA"/>
    <w:rsid w:val="78E528CF"/>
    <w:rsid w:val="78F33C70"/>
    <w:rsid w:val="78F56D77"/>
    <w:rsid w:val="794744F9"/>
    <w:rsid w:val="799139C7"/>
    <w:rsid w:val="79997827"/>
    <w:rsid w:val="79A25E1B"/>
    <w:rsid w:val="79AE7B9C"/>
    <w:rsid w:val="79C97604"/>
    <w:rsid w:val="79EF67E5"/>
    <w:rsid w:val="7A2F7FBA"/>
    <w:rsid w:val="7A4B3072"/>
    <w:rsid w:val="7A6C3430"/>
    <w:rsid w:val="7AA716F4"/>
    <w:rsid w:val="7B4927AB"/>
    <w:rsid w:val="7B566B59"/>
    <w:rsid w:val="7B6E3FBF"/>
    <w:rsid w:val="7B934B12"/>
    <w:rsid w:val="7BD06A28"/>
    <w:rsid w:val="7C122B9D"/>
    <w:rsid w:val="7C14004B"/>
    <w:rsid w:val="7C39281F"/>
    <w:rsid w:val="7C4A67DB"/>
    <w:rsid w:val="7C776EA4"/>
    <w:rsid w:val="7C7B26F4"/>
    <w:rsid w:val="7D8908F9"/>
    <w:rsid w:val="7DC9372F"/>
    <w:rsid w:val="7DCB394B"/>
    <w:rsid w:val="7DFA7D8C"/>
    <w:rsid w:val="7E004525"/>
    <w:rsid w:val="7E6B47E6"/>
    <w:rsid w:val="7E8B30DA"/>
    <w:rsid w:val="7F313C82"/>
    <w:rsid w:val="7F477001"/>
    <w:rsid w:val="7FA44454"/>
    <w:rsid w:val="7FAC7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qFormat="1" w:unhideWhenUsed="0" w:uiPriority="0" w:semiHidden="0"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8"/>
    <w:qFormat/>
    <w:uiPriority w:val="0"/>
    <w:pPr>
      <w:keepNext/>
      <w:spacing w:line="360" w:lineRule="auto"/>
      <w:ind w:firstLine="200" w:firstLineChars="200"/>
      <w:jc w:val="left"/>
      <w:outlineLvl w:val="0"/>
    </w:pPr>
    <w:rPr>
      <w:b/>
      <w:color w:val="000000"/>
      <w:sz w:val="30"/>
    </w:rPr>
  </w:style>
  <w:style w:type="paragraph" w:styleId="4">
    <w:name w:val="heading 2"/>
    <w:basedOn w:val="1"/>
    <w:next w:val="1"/>
    <w:link w:val="45"/>
    <w:qFormat/>
    <w:uiPriority w:val="0"/>
    <w:pPr>
      <w:keepNext/>
      <w:keepLines/>
      <w:spacing w:before="100" w:beforeAutospacing="1" w:after="100" w:afterAutospacing="1" w:line="360" w:lineRule="auto"/>
      <w:ind w:firstLine="200" w:firstLineChars="200"/>
      <w:outlineLvl w:val="1"/>
    </w:pPr>
    <w:rPr>
      <w:rFonts w:ascii="Arial" w:hAnsi="Arial"/>
      <w:b/>
      <w:sz w:val="28"/>
    </w:rPr>
  </w:style>
  <w:style w:type="paragraph" w:styleId="5">
    <w:name w:val="heading 3"/>
    <w:basedOn w:val="1"/>
    <w:next w:val="1"/>
    <w:link w:val="44"/>
    <w:qFormat/>
    <w:uiPriority w:val="0"/>
    <w:pPr>
      <w:keepNext/>
      <w:keepLines/>
      <w:spacing w:before="100" w:beforeAutospacing="1" w:after="100" w:afterAutospacing="1" w:line="360" w:lineRule="auto"/>
      <w:ind w:firstLine="200" w:firstLineChars="200"/>
      <w:outlineLvl w:val="2"/>
    </w:pPr>
  </w:style>
  <w:style w:type="paragraph" w:styleId="6">
    <w:name w:val="heading 4"/>
    <w:basedOn w:val="1"/>
    <w:next w:val="1"/>
    <w:link w:val="104"/>
    <w:semiHidden/>
    <w:unhideWhenUsed/>
    <w:qFormat/>
    <w:uiPriority w:val="0"/>
    <w:pPr>
      <w:keepNext/>
      <w:keepLines/>
      <w:spacing w:before="280" w:after="290" w:line="372" w:lineRule="auto"/>
      <w:jc w:val="center"/>
      <w:outlineLvl w:val="3"/>
    </w:pPr>
    <w:rPr>
      <w:rFonts w:ascii="Arial" w:hAnsi="Arial"/>
      <w:b/>
      <w:szCs w:val="22"/>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macro"/>
    <w:link w:val="49"/>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sz w:val="21"/>
      <w:szCs w:val="22"/>
      <w:lang w:val="en-US" w:eastAsia="zh-CN" w:bidi="ar-SA"/>
    </w:rPr>
  </w:style>
  <w:style w:type="paragraph" w:styleId="7">
    <w:name w:val="Normal Indent"/>
    <w:basedOn w:val="1"/>
    <w:link w:val="98"/>
    <w:qFormat/>
    <w:uiPriority w:val="0"/>
    <w:pPr>
      <w:ind w:firstLine="420"/>
    </w:pPr>
    <w:rPr>
      <w:szCs w:val="20"/>
    </w:rPr>
  </w:style>
  <w:style w:type="paragraph" w:styleId="8">
    <w:name w:val="Document Map"/>
    <w:basedOn w:val="1"/>
    <w:link w:val="50"/>
    <w:qFormat/>
    <w:uiPriority w:val="0"/>
    <w:rPr>
      <w:rFonts w:ascii="宋体"/>
      <w:sz w:val="18"/>
      <w:szCs w:val="18"/>
    </w:rPr>
  </w:style>
  <w:style w:type="paragraph" w:styleId="9">
    <w:name w:val="annotation text"/>
    <w:basedOn w:val="1"/>
    <w:link w:val="51"/>
    <w:qFormat/>
    <w:uiPriority w:val="0"/>
    <w:pPr>
      <w:jc w:val="left"/>
    </w:pPr>
  </w:style>
  <w:style w:type="paragraph" w:styleId="10">
    <w:name w:val="Body Text"/>
    <w:basedOn w:val="1"/>
    <w:link w:val="46"/>
    <w:qFormat/>
    <w:uiPriority w:val="0"/>
    <w:rPr>
      <w:rFonts w:ascii="楷体_GB2312" w:hAnsi="Arial" w:eastAsia="楷体_GB2312"/>
      <w:kern w:val="0"/>
      <w:sz w:val="28"/>
      <w:szCs w:val="28"/>
    </w:rPr>
  </w:style>
  <w:style w:type="paragraph" w:styleId="11">
    <w:name w:val="Body Text Indent"/>
    <w:basedOn w:val="1"/>
    <w:link w:val="52"/>
    <w:qFormat/>
    <w:uiPriority w:val="0"/>
    <w:pPr>
      <w:spacing w:after="120"/>
      <w:ind w:left="420" w:leftChars="200"/>
    </w:pPr>
    <w:rPr>
      <w:sz w:val="21"/>
    </w:rPr>
  </w:style>
  <w:style w:type="paragraph" w:styleId="12">
    <w:name w:val="toc 5"/>
    <w:basedOn w:val="1"/>
    <w:next w:val="1"/>
    <w:qFormat/>
    <w:uiPriority w:val="39"/>
    <w:pPr>
      <w:ind w:left="840"/>
      <w:jc w:val="left"/>
    </w:pPr>
    <w:rPr>
      <w:sz w:val="18"/>
      <w:szCs w:val="18"/>
    </w:rPr>
  </w:style>
  <w:style w:type="paragraph" w:styleId="13">
    <w:name w:val="toc 3"/>
    <w:basedOn w:val="1"/>
    <w:next w:val="1"/>
    <w:qFormat/>
    <w:uiPriority w:val="39"/>
    <w:pPr>
      <w:ind w:left="840" w:leftChars="400"/>
    </w:pPr>
  </w:style>
  <w:style w:type="paragraph" w:styleId="14">
    <w:name w:val="Plain Text"/>
    <w:basedOn w:val="1"/>
    <w:link w:val="53"/>
    <w:qFormat/>
    <w:uiPriority w:val="0"/>
    <w:rPr>
      <w:rFonts w:ascii="Calibri" w:hAnsi="Calibri" w:cs="黑体"/>
      <w:szCs w:val="22"/>
    </w:rPr>
  </w:style>
  <w:style w:type="paragraph" w:styleId="15">
    <w:name w:val="Date"/>
    <w:basedOn w:val="1"/>
    <w:next w:val="1"/>
    <w:link w:val="54"/>
    <w:qFormat/>
    <w:uiPriority w:val="0"/>
    <w:pPr>
      <w:ind w:left="100" w:leftChars="2500"/>
    </w:pPr>
    <w:rPr>
      <w:rFonts w:eastAsia="仿宋_GB2312"/>
      <w:sz w:val="32"/>
    </w:rPr>
  </w:style>
  <w:style w:type="paragraph" w:styleId="16">
    <w:name w:val="Body Text Indent 2"/>
    <w:basedOn w:val="1"/>
    <w:link w:val="97"/>
    <w:unhideWhenUsed/>
    <w:qFormat/>
    <w:uiPriority w:val="99"/>
    <w:pPr>
      <w:spacing w:after="120" w:line="480" w:lineRule="auto"/>
      <w:ind w:left="420" w:leftChars="200"/>
    </w:pPr>
  </w:style>
  <w:style w:type="paragraph" w:styleId="17">
    <w:name w:val="Balloon Text"/>
    <w:basedOn w:val="1"/>
    <w:link w:val="55"/>
    <w:qFormat/>
    <w:uiPriority w:val="0"/>
    <w:rPr>
      <w:sz w:val="18"/>
      <w:szCs w:val="18"/>
    </w:rPr>
  </w:style>
  <w:style w:type="paragraph" w:styleId="18">
    <w:name w:val="footer"/>
    <w:basedOn w:val="1"/>
    <w:link w:val="56"/>
    <w:qFormat/>
    <w:uiPriority w:val="99"/>
    <w:pPr>
      <w:tabs>
        <w:tab w:val="center" w:pos="4153"/>
        <w:tab w:val="right" w:pos="8306"/>
      </w:tabs>
      <w:snapToGrid w:val="0"/>
      <w:jc w:val="left"/>
    </w:pPr>
    <w:rPr>
      <w:sz w:val="18"/>
      <w:szCs w:val="18"/>
    </w:rPr>
  </w:style>
  <w:style w:type="paragraph" w:styleId="19">
    <w:name w:val="envelope return"/>
    <w:basedOn w:val="1"/>
    <w:qFormat/>
    <w:uiPriority w:val="0"/>
    <w:pPr>
      <w:snapToGrid w:val="0"/>
    </w:pPr>
    <w:rPr>
      <w:rFonts w:ascii="Arial" w:hAnsi="Arial"/>
    </w:rPr>
  </w:style>
  <w:style w:type="paragraph" w:styleId="20">
    <w:name w:val="header"/>
    <w:basedOn w:val="1"/>
    <w:link w:val="57"/>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toc 2"/>
    <w:basedOn w:val="1"/>
    <w:next w:val="1"/>
    <w:qFormat/>
    <w:uiPriority w:val="39"/>
    <w:pPr>
      <w:ind w:left="420" w:leftChars="200"/>
    </w:pPr>
  </w:style>
  <w:style w:type="paragraph" w:styleId="23">
    <w:name w:val="Message Header"/>
    <w:basedOn w:val="1"/>
    <w:link w:val="108"/>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styleId="24">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25">
    <w:name w:val="Normal (Web)"/>
    <w:basedOn w:val="1"/>
    <w:qFormat/>
    <w:uiPriority w:val="99"/>
    <w:pPr>
      <w:spacing w:before="100" w:beforeAutospacing="1" w:after="100" w:afterAutospacing="1"/>
      <w:jc w:val="left"/>
    </w:pPr>
    <w:rPr>
      <w:kern w:val="0"/>
    </w:rPr>
  </w:style>
  <w:style w:type="paragraph" w:styleId="26">
    <w:name w:val="Title"/>
    <w:basedOn w:val="1"/>
    <w:next w:val="1"/>
    <w:link w:val="58"/>
    <w:qFormat/>
    <w:uiPriority w:val="0"/>
    <w:pPr>
      <w:spacing w:before="240" w:after="60"/>
      <w:jc w:val="center"/>
      <w:outlineLvl w:val="0"/>
    </w:pPr>
    <w:rPr>
      <w:rFonts w:ascii="Cambria" w:hAnsi="Cambria"/>
      <w:b/>
      <w:bCs/>
      <w:sz w:val="36"/>
      <w:szCs w:val="32"/>
    </w:rPr>
  </w:style>
  <w:style w:type="paragraph" w:styleId="27">
    <w:name w:val="annotation subject"/>
    <w:basedOn w:val="9"/>
    <w:next w:val="9"/>
    <w:link w:val="59"/>
    <w:qFormat/>
    <w:uiPriority w:val="0"/>
    <w:rPr>
      <w:b/>
      <w:bCs/>
    </w:rPr>
  </w:style>
  <w:style w:type="paragraph" w:styleId="28">
    <w:name w:val="Body Text First Indent"/>
    <w:basedOn w:val="10"/>
    <w:link w:val="47"/>
    <w:qFormat/>
    <w:uiPriority w:val="0"/>
    <w:pPr>
      <w:spacing w:line="312" w:lineRule="auto"/>
      <w:ind w:firstLine="420"/>
    </w:pPr>
  </w:style>
  <w:style w:type="paragraph" w:styleId="29">
    <w:name w:val="Body Text First Indent 2"/>
    <w:basedOn w:val="11"/>
    <w:link w:val="105"/>
    <w:qFormat/>
    <w:uiPriority w:val="0"/>
    <w:pPr>
      <w:ind w:firstLine="420" w:firstLineChars="200"/>
    </w:pPr>
    <w:rPr>
      <w:rFonts w:ascii="Calibri" w:hAnsi="Calibri"/>
      <w:sz w:val="24"/>
    </w:rPr>
  </w:style>
  <w:style w:type="table" w:styleId="31">
    <w:name w:val="Table Grid"/>
    <w:basedOn w:val="3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basedOn w:val="32"/>
    <w:qFormat/>
    <w:uiPriority w:val="0"/>
  </w:style>
  <w:style w:type="character" w:styleId="35">
    <w:name w:val="FollowedHyperlink"/>
    <w:basedOn w:val="32"/>
    <w:semiHidden/>
    <w:unhideWhenUsed/>
    <w:qFormat/>
    <w:uiPriority w:val="99"/>
    <w:rPr>
      <w:color w:val="1F3149"/>
      <w:u w:val="none"/>
    </w:rPr>
  </w:style>
  <w:style w:type="character" w:styleId="36">
    <w:name w:val="Emphasis"/>
    <w:basedOn w:val="32"/>
    <w:qFormat/>
    <w:uiPriority w:val="20"/>
  </w:style>
  <w:style w:type="character" w:styleId="37">
    <w:name w:val="HTML Definition"/>
    <w:basedOn w:val="32"/>
    <w:semiHidden/>
    <w:unhideWhenUsed/>
    <w:qFormat/>
    <w:uiPriority w:val="99"/>
    <w:rPr>
      <w:i/>
      <w:iCs/>
    </w:rPr>
  </w:style>
  <w:style w:type="character" w:styleId="38">
    <w:name w:val="Hyperlink"/>
    <w:basedOn w:val="32"/>
    <w:qFormat/>
    <w:uiPriority w:val="99"/>
    <w:rPr>
      <w:color w:val="0563C1"/>
      <w:u w:val="single"/>
    </w:rPr>
  </w:style>
  <w:style w:type="character" w:styleId="39">
    <w:name w:val="HTML Code"/>
    <w:basedOn w:val="32"/>
    <w:semiHidden/>
    <w:unhideWhenUsed/>
    <w:qFormat/>
    <w:uiPriority w:val="99"/>
    <w:rPr>
      <w:rFonts w:ascii="Consolas" w:hAnsi="Consolas" w:eastAsia="Consolas" w:cs="Consolas"/>
      <w:color w:val="C7254E"/>
      <w:sz w:val="21"/>
      <w:szCs w:val="21"/>
      <w:shd w:val="clear" w:fill="F9F2F4"/>
    </w:rPr>
  </w:style>
  <w:style w:type="character" w:styleId="40">
    <w:name w:val="annotation reference"/>
    <w:basedOn w:val="32"/>
    <w:qFormat/>
    <w:uiPriority w:val="0"/>
    <w:rPr>
      <w:sz w:val="21"/>
      <w:szCs w:val="21"/>
    </w:rPr>
  </w:style>
  <w:style w:type="character" w:styleId="41">
    <w:name w:val="HTML Keyboard"/>
    <w:basedOn w:val="32"/>
    <w:semiHidden/>
    <w:unhideWhenUsed/>
    <w:qFormat/>
    <w:uiPriority w:val="99"/>
    <w:rPr>
      <w:rFonts w:hint="default" w:ascii="Consolas" w:hAnsi="Consolas" w:eastAsia="Consolas" w:cs="Consolas"/>
      <w:color w:val="FFFFFF"/>
      <w:sz w:val="21"/>
      <w:szCs w:val="21"/>
      <w:shd w:val="clear" w:fill="333333"/>
    </w:rPr>
  </w:style>
  <w:style w:type="character" w:styleId="42">
    <w:name w:val="HTML Sample"/>
    <w:basedOn w:val="32"/>
    <w:semiHidden/>
    <w:unhideWhenUsed/>
    <w:qFormat/>
    <w:uiPriority w:val="99"/>
    <w:rPr>
      <w:rFonts w:hint="default" w:ascii="Consolas" w:hAnsi="Consolas" w:eastAsia="Consolas" w:cs="Consolas"/>
      <w:sz w:val="21"/>
      <w:szCs w:val="21"/>
    </w:rPr>
  </w:style>
  <w:style w:type="paragraph" w:customStyle="1" w:styleId="43">
    <w:name w:val="_Style 23"/>
    <w:basedOn w:val="1"/>
    <w:qFormat/>
    <w:uiPriority w:val="0"/>
    <w:pPr>
      <w:adjustRightInd w:val="0"/>
      <w:spacing w:line="360" w:lineRule="atLeast"/>
      <w:jc w:val="left"/>
    </w:pPr>
  </w:style>
  <w:style w:type="character" w:customStyle="1" w:styleId="44">
    <w:name w:val="标题 3 Char"/>
    <w:basedOn w:val="32"/>
    <w:link w:val="5"/>
    <w:qFormat/>
    <w:uiPriority w:val="0"/>
    <w:rPr>
      <w:rFonts w:ascii="Times New Roman" w:hAnsi="Times New Roman" w:eastAsia="宋体"/>
      <w:kern w:val="2"/>
      <w:sz w:val="24"/>
    </w:rPr>
  </w:style>
  <w:style w:type="character" w:customStyle="1" w:styleId="45">
    <w:name w:val="标题 2 Char"/>
    <w:basedOn w:val="32"/>
    <w:link w:val="4"/>
    <w:qFormat/>
    <w:uiPriority w:val="0"/>
    <w:rPr>
      <w:rFonts w:ascii="Arial" w:hAnsi="Arial"/>
      <w:b/>
      <w:kern w:val="2"/>
      <w:sz w:val="28"/>
      <w:szCs w:val="24"/>
    </w:rPr>
  </w:style>
  <w:style w:type="character" w:customStyle="1" w:styleId="46">
    <w:name w:val="正文文本 Char"/>
    <w:basedOn w:val="32"/>
    <w:link w:val="10"/>
    <w:qFormat/>
    <w:uiPriority w:val="99"/>
    <w:rPr>
      <w:rFonts w:ascii="楷体_GB2312" w:hAnsi="Arial" w:eastAsia="楷体_GB2312"/>
      <w:sz w:val="28"/>
      <w:szCs w:val="28"/>
    </w:rPr>
  </w:style>
  <w:style w:type="character" w:customStyle="1" w:styleId="47">
    <w:name w:val="正文首行缩进 Char"/>
    <w:basedOn w:val="32"/>
    <w:link w:val="28"/>
    <w:qFormat/>
    <w:uiPriority w:val="0"/>
    <w:rPr>
      <w:rFonts w:ascii="楷体_GB2312" w:hAnsi="Arial" w:eastAsia="楷体_GB2312" w:cs="Times New Roman"/>
      <w:sz w:val="28"/>
      <w:szCs w:val="28"/>
    </w:rPr>
  </w:style>
  <w:style w:type="character" w:customStyle="1" w:styleId="48">
    <w:name w:val="标题 1 Char"/>
    <w:basedOn w:val="32"/>
    <w:link w:val="3"/>
    <w:qFormat/>
    <w:uiPriority w:val="0"/>
    <w:rPr>
      <w:b/>
      <w:color w:val="000000"/>
      <w:kern w:val="2"/>
      <w:sz w:val="30"/>
      <w:szCs w:val="24"/>
    </w:rPr>
  </w:style>
  <w:style w:type="character" w:customStyle="1" w:styleId="49">
    <w:name w:val="宏文本 Char"/>
    <w:basedOn w:val="32"/>
    <w:link w:val="2"/>
    <w:qFormat/>
    <w:uiPriority w:val="0"/>
    <w:rPr>
      <w:rFonts w:ascii="Courier New" w:hAnsi="Courier New"/>
      <w:sz w:val="21"/>
      <w:szCs w:val="22"/>
    </w:rPr>
  </w:style>
  <w:style w:type="character" w:customStyle="1" w:styleId="50">
    <w:name w:val="文档结构图 Char"/>
    <w:basedOn w:val="32"/>
    <w:link w:val="8"/>
    <w:qFormat/>
    <w:uiPriority w:val="0"/>
    <w:rPr>
      <w:rFonts w:ascii="宋体" w:hAnsi="Times New Roman" w:eastAsia="宋体" w:cs="Times New Roman"/>
      <w:kern w:val="2"/>
      <w:sz w:val="18"/>
      <w:szCs w:val="18"/>
    </w:rPr>
  </w:style>
  <w:style w:type="character" w:customStyle="1" w:styleId="51">
    <w:name w:val="批注文字 Char"/>
    <w:basedOn w:val="32"/>
    <w:link w:val="9"/>
    <w:qFormat/>
    <w:uiPriority w:val="0"/>
    <w:rPr>
      <w:rFonts w:ascii="Times New Roman" w:hAnsi="Times New Roman" w:eastAsia="宋体" w:cs="Times New Roman"/>
      <w:kern w:val="2"/>
      <w:sz w:val="24"/>
      <w:szCs w:val="24"/>
    </w:rPr>
  </w:style>
  <w:style w:type="character" w:customStyle="1" w:styleId="52">
    <w:name w:val="正文文本缩进 Char"/>
    <w:basedOn w:val="32"/>
    <w:link w:val="11"/>
    <w:qFormat/>
    <w:uiPriority w:val="0"/>
    <w:rPr>
      <w:kern w:val="2"/>
      <w:sz w:val="21"/>
      <w:szCs w:val="24"/>
    </w:rPr>
  </w:style>
  <w:style w:type="character" w:customStyle="1" w:styleId="53">
    <w:name w:val="纯文本 Char"/>
    <w:basedOn w:val="32"/>
    <w:link w:val="14"/>
    <w:qFormat/>
    <w:uiPriority w:val="0"/>
    <w:rPr>
      <w:rFonts w:ascii="Calibri" w:hAnsi="Calibri" w:eastAsia="宋体" w:cs="黑体"/>
      <w:kern w:val="2"/>
      <w:sz w:val="24"/>
      <w:szCs w:val="22"/>
    </w:rPr>
  </w:style>
  <w:style w:type="character" w:customStyle="1" w:styleId="54">
    <w:name w:val="日期 Char"/>
    <w:basedOn w:val="32"/>
    <w:link w:val="15"/>
    <w:qFormat/>
    <w:uiPriority w:val="0"/>
    <w:rPr>
      <w:rFonts w:eastAsia="仿宋_GB2312"/>
      <w:kern w:val="2"/>
      <w:sz w:val="32"/>
      <w:szCs w:val="24"/>
    </w:rPr>
  </w:style>
  <w:style w:type="character" w:customStyle="1" w:styleId="55">
    <w:name w:val="批注框文本 Char"/>
    <w:basedOn w:val="32"/>
    <w:link w:val="17"/>
    <w:qFormat/>
    <w:uiPriority w:val="0"/>
    <w:rPr>
      <w:rFonts w:ascii="Times New Roman" w:hAnsi="Times New Roman" w:eastAsia="宋体" w:cs="Times New Roman"/>
      <w:kern w:val="2"/>
      <w:sz w:val="18"/>
      <w:szCs w:val="18"/>
    </w:rPr>
  </w:style>
  <w:style w:type="character" w:customStyle="1" w:styleId="56">
    <w:name w:val="页脚 Char"/>
    <w:link w:val="18"/>
    <w:qFormat/>
    <w:uiPriority w:val="99"/>
    <w:rPr>
      <w:rFonts w:ascii="Times New Roman" w:hAnsi="Times New Roman" w:eastAsia="宋体" w:cs="Times New Roman"/>
      <w:kern w:val="2"/>
      <w:sz w:val="18"/>
      <w:szCs w:val="18"/>
    </w:rPr>
  </w:style>
  <w:style w:type="character" w:customStyle="1" w:styleId="57">
    <w:name w:val="页眉 Char"/>
    <w:basedOn w:val="32"/>
    <w:link w:val="20"/>
    <w:qFormat/>
    <w:uiPriority w:val="99"/>
    <w:rPr>
      <w:kern w:val="2"/>
      <w:sz w:val="18"/>
      <w:szCs w:val="18"/>
    </w:rPr>
  </w:style>
  <w:style w:type="character" w:customStyle="1" w:styleId="58">
    <w:name w:val="标题 Char"/>
    <w:basedOn w:val="32"/>
    <w:link w:val="26"/>
    <w:qFormat/>
    <w:uiPriority w:val="0"/>
    <w:rPr>
      <w:rFonts w:ascii="Cambria" w:hAnsi="Cambria"/>
      <w:b/>
      <w:bCs/>
      <w:kern w:val="2"/>
      <w:sz w:val="36"/>
      <w:szCs w:val="32"/>
    </w:rPr>
  </w:style>
  <w:style w:type="character" w:customStyle="1" w:styleId="59">
    <w:name w:val="批注主题 Char"/>
    <w:basedOn w:val="51"/>
    <w:link w:val="27"/>
    <w:qFormat/>
    <w:uiPriority w:val="0"/>
    <w:rPr>
      <w:rFonts w:ascii="Times New Roman" w:hAnsi="Times New Roman" w:eastAsia="宋体" w:cs="Times New Roman"/>
      <w:b/>
      <w:bCs/>
      <w:kern w:val="2"/>
      <w:sz w:val="24"/>
      <w:szCs w:val="24"/>
    </w:rPr>
  </w:style>
  <w:style w:type="paragraph" w:customStyle="1" w:styleId="60">
    <w:name w:val="*正文"/>
    <w:basedOn w:val="1"/>
    <w:qFormat/>
    <w:uiPriority w:val="0"/>
    <w:pPr>
      <w:keepNext/>
      <w:keepLines/>
      <w:spacing w:line="360" w:lineRule="auto"/>
      <w:ind w:firstLine="200" w:firstLineChars="200"/>
    </w:pPr>
    <w:rPr>
      <w:rFonts w:ascii="宋体" w:hAnsi="宋体"/>
    </w:rPr>
  </w:style>
  <w:style w:type="paragraph" w:customStyle="1" w:styleId="61">
    <w:name w:val="无间隔1"/>
    <w:basedOn w:val="1"/>
    <w:qFormat/>
    <w:uiPriority w:val="1"/>
    <w:pPr>
      <w:spacing w:line="400" w:lineRule="exact"/>
    </w:pPr>
  </w:style>
  <w:style w:type="paragraph" w:customStyle="1" w:styleId="62">
    <w:name w:val="样式"/>
    <w:basedOn w:val="1"/>
    <w:next w:val="63"/>
    <w:qFormat/>
    <w:uiPriority w:val="0"/>
    <w:pPr>
      <w:adjustRightInd w:val="0"/>
      <w:spacing w:beforeAutospacing="1" w:afterAutospacing="1" w:line="360" w:lineRule="atLeast"/>
      <w:ind w:left="572" w:right="32" w:firstLine="478"/>
      <w:textAlignment w:val="baseline"/>
    </w:pPr>
  </w:style>
  <w:style w:type="paragraph" w:customStyle="1" w:styleId="63">
    <w:name w:val="文本块1"/>
    <w:basedOn w:val="1"/>
    <w:qFormat/>
    <w:uiPriority w:val="0"/>
    <w:pPr>
      <w:spacing w:beforeAutospacing="1" w:afterAutospacing="1" w:line="360" w:lineRule="auto"/>
      <w:ind w:left="359" w:leftChars="171" w:right="420" w:rightChars="200" w:firstLine="1"/>
    </w:pPr>
    <w:rPr>
      <w:rFonts w:ascii="宋体" w:hAnsi="宋体" w:cs="宋体"/>
    </w:rPr>
  </w:style>
  <w:style w:type="paragraph" w:customStyle="1" w:styleId="64">
    <w:name w:val="普通(网站)1"/>
    <w:basedOn w:val="1"/>
    <w:qFormat/>
    <w:uiPriority w:val="0"/>
    <w:pPr>
      <w:widowControl/>
      <w:jc w:val="left"/>
    </w:pPr>
    <w:rPr>
      <w:rFonts w:ascii="Helvetica" w:hAnsi="Helvetica" w:cs="Helvetica"/>
      <w:kern w:val="0"/>
    </w:rPr>
  </w:style>
  <w:style w:type="character" w:customStyle="1" w:styleId="65">
    <w:name w:val="15"/>
    <w:qFormat/>
    <w:uiPriority w:val="0"/>
    <w:rPr>
      <w:rFonts w:ascii="Times New Roman" w:hAnsi="Times New Roman" w:cs="Times New Roman"/>
      <w:b/>
      <w:bCs/>
    </w:rPr>
  </w:style>
  <w:style w:type="character" w:customStyle="1" w:styleId="66">
    <w:name w:val="font21"/>
    <w:basedOn w:val="32"/>
    <w:qFormat/>
    <w:uiPriority w:val="0"/>
    <w:rPr>
      <w:rFonts w:hint="eastAsia" w:ascii="宋体" w:hAnsi="宋体" w:eastAsia="宋体" w:cs="宋体"/>
      <w:color w:val="000000"/>
      <w:sz w:val="18"/>
      <w:szCs w:val="18"/>
      <w:u w:val="none"/>
    </w:rPr>
  </w:style>
  <w:style w:type="paragraph" w:customStyle="1" w:styleId="67">
    <w:name w:val="列出段落1"/>
    <w:basedOn w:val="1"/>
    <w:qFormat/>
    <w:uiPriority w:val="34"/>
    <w:pPr>
      <w:ind w:firstLine="420" w:firstLineChars="200"/>
    </w:pPr>
  </w:style>
  <w:style w:type="paragraph" w:customStyle="1" w:styleId="68">
    <w:name w:val="星非-小"/>
    <w:basedOn w:val="1"/>
    <w:qFormat/>
    <w:uiPriority w:val="0"/>
    <w:pPr>
      <w:spacing w:line="480" w:lineRule="exact"/>
      <w:ind w:left="830" w:leftChars="150" w:hanging="534" w:hangingChars="200"/>
      <w:jc w:val="left"/>
    </w:pPr>
    <w:rPr>
      <w:rFonts w:ascii="仿宋_GB2312" w:hAnsi="仿宋_GB2312" w:eastAsia="仿宋_GB2312" w:cs="宋体"/>
      <w:snapToGrid w:val="0"/>
      <w:kern w:val="0"/>
      <w:sz w:val="28"/>
      <w:szCs w:val="20"/>
    </w:rPr>
  </w:style>
  <w:style w:type="paragraph" w:customStyle="1" w:styleId="69">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70">
    <w:name w:val="WPSOffice手动目录 1"/>
    <w:qFormat/>
    <w:uiPriority w:val="0"/>
    <w:rPr>
      <w:rFonts w:ascii="Times New Roman" w:hAnsi="Times New Roman" w:eastAsia="宋体" w:cs="Times New Roman"/>
      <w:lang w:val="en-US" w:eastAsia="zh-CN" w:bidi="ar-SA"/>
    </w:rPr>
  </w:style>
  <w:style w:type="paragraph" w:customStyle="1" w:styleId="7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72">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73">
    <w:name w:val="font01"/>
    <w:basedOn w:val="32"/>
    <w:qFormat/>
    <w:uiPriority w:val="0"/>
    <w:rPr>
      <w:rFonts w:hint="eastAsia" w:ascii="宋体" w:hAnsi="宋体" w:eastAsia="宋体" w:cs="宋体"/>
      <w:color w:val="000000"/>
      <w:sz w:val="20"/>
      <w:szCs w:val="20"/>
      <w:u w:val="none"/>
    </w:rPr>
  </w:style>
  <w:style w:type="character" w:customStyle="1" w:styleId="74">
    <w:name w:val="font41"/>
    <w:basedOn w:val="32"/>
    <w:qFormat/>
    <w:uiPriority w:val="0"/>
    <w:rPr>
      <w:rFonts w:ascii="宋体" w:hAnsi="宋体" w:eastAsia="宋体" w:cs="宋体"/>
      <w:color w:val="000000"/>
      <w:sz w:val="20"/>
      <w:szCs w:val="20"/>
      <w:u w:val="none"/>
    </w:rPr>
  </w:style>
  <w:style w:type="character" w:customStyle="1" w:styleId="75">
    <w:name w:val="font31"/>
    <w:basedOn w:val="32"/>
    <w:qFormat/>
    <w:uiPriority w:val="0"/>
    <w:rPr>
      <w:rFonts w:hint="eastAsia" w:ascii="宋体" w:hAnsi="宋体" w:eastAsia="宋体" w:cs="宋体"/>
      <w:color w:val="000000"/>
      <w:sz w:val="20"/>
      <w:szCs w:val="20"/>
      <w:u w:val="none"/>
    </w:rPr>
  </w:style>
  <w:style w:type="character" w:customStyle="1" w:styleId="76">
    <w:name w:val="font11"/>
    <w:basedOn w:val="32"/>
    <w:qFormat/>
    <w:uiPriority w:val="0"/>
    <w:rPr>
      <w:rFonts w:hint="eastAsia" w:ascii="宋体" w:hAnsi="宋体" w:eastAsia="宋体" w:cs="宋体"/>
      <w:color w:val="000000"/>
      <w:sz w:val="20"/>
      <w:szCs w:val="20"/>
      <w:u w:val="none"/>
    </w:rPr>
  </w:style>
  <w:style w:type="paragraph" w:customStyle="1" w:styleId="77">
    <w:name w:val="无间隔2"/>
    <w:basedOn w:val="1"/>
    <w:qFormat/>
    <w:uiPriority w:val="1"/>
    <w:pPr>
      <w:spacing w:line="400" w:lineRule="exact"/>
    </w:pPr>
  </w:style>
  <w:style w:type="paragraph" w:customStyle="1" w:styleId="78">
    <w:name w:val="无间隔21"/>
    <w:basedOn w:val="1"/>
    <w:qFormat/>
    <w:uiPriority w:val="1"/>
    <w:pPr>
      <w:spacing w:line="400" w:lineRule="exact"/>
    </w:pPr>
  </w:style>
  <w:style w:type="paragraph" w:customStyle="1" w:styleId="79">
    <w:name w:val="列表段落1"/>
    <w:basedOn w:val="1"/>
    <w:qFormat/>
    <w:uiPriority w:val="0"/>
    <w:pPr>
      <w:ind w:firstLine="420" w:firstLineChars="200"/>
    </w:pPr>
    <w:rPr>
      <w:rFonts w:ascii="Calibri" w:hAnsi="Calibri"/>
    </w:rPr>
  </w:style>
  <w:style w:type="character" w:customStyle="1" w:styleId="80">
    <w:name w:val="ca-121"/>
    <w:basedOn w:val="32"/>
    <w:qFormat/>
    <w:uiPriority w:val="0"/>
    <w:rPr>
      <w:rFonts w:hint="eastAsia" w:ascii="宋体" w:hAnsi="宋体" w:eastAsia="宋体"/>
      <w:sz w:val="24"/>
      <w:szCs w:val="24"/>
    </w:rPr>
  </w:style>
  <w:style w:type="character" w:customStyle="1" w:styleId="81">
    <w:name w:val="font71"/>
    <w:basedOn w:val="32"/>
    <w:qFormat/>
    <w:uiPriority w:val="0"/>
    <w:rPr>
      <w:rFonts w:hint="eastAsia" w:ascii="宋体" w:hAnsi="宋体" w:eastAsia="宋体" w:cs="宋体"/>
      <w:color w:val="FF0000"/>
      <w:sz w:val="18"/>
      <w:szCs w:val="18"/>
      <w:u w:val="none"/>
    </w:rPr>
  </w:style>
  <w:style w:type="paragraph" w:customStyle="1" w:styleId="82">
    <w:name w:val="Table Paragraph"/>
    <w:basedOn w:val="1"/>
    <w:qFormat/>
    <w:uiPriority w:val="1"/>
    <w:rPr>
      <w:rFonts w:ascii="宋体" w:hAnsi="宋体" w:cs="宋体"/>
      <w:lang w:eastAsia="en-US" w:bidi="en-US"/>
    </w:rPr>
  </w:style>
  <w:style w:type="paragraph" w:styleId="83">
    <w:name w:val="List Paragraph"/>
    <w:basedOn w:val="1"/>
    <w:qFormat/>
    <w:uiPriority w:val="34"/>
    <w:pPr>
      <w:ind w:left="175"/>
    </w:pPr>
    <w:rPr>
      <w:rFonts w:ascii="宋体" w:hAnsi="宋体" w:cs="宋体"/>
      <w:lang w:eastAsia="en-US" w:bidi="en-US"/>
    </w:rPr>
  </w:style>
  <w:style w:type="character" w:customStyle="1" w:styleId="84">
    <w:name w:val="font81"/>
    <w:basedOn w:val="32"/>
    <w:qFormat/>
    <w:uiPriority w:val="0"/>
    <w:rPr>
      <w:rFonts w:hint="eastAsia" w:ascii="宋体" w:hAnsi="宋体" w:eastAsia="宋体" w:cs="宋体"/>
      <w:color w:val="FF0000"/>
      <w:sz w:val="21"/>
      <w:szCs w:val="21"/>
      <w:u w:val="none"/>
    </w:rPr>
  </w:style>
  <w:style w:type="character" w:customStyle="1" w:styleId="85">
    <w:name w:val="font61"/>
    <w:basedOn w:val="32"/>
    <w:qFormat/>
    <w:uiPriority w:val="0"/>
    <w:rPr>
      <w:rFonts w:hint="eastAsia" w:ascii="宋体" w:hAnsi="宋体" w:eastAsia="宋体" w:cs="宋体"/>
      <w:color w:val="000000"/>
      <w:sz w:val="20"/>
      <w:szCs w:val="20"/>
      <w:u w:val="none"/>
    </w:rPr>
  </w:style>
  <w:style w:type="character" w:customStyle="1" w:styleId="86">
    <w:name w:val="font101"/>
    <w:basedOn w:val="32"/>
    <w:qFormat/>
    <w:uiPriority w:val="0"/>
    <w:rPr>
      <w:rFonts w:hint="eastAsia" w:ascii="宋体" w:hAnsi="宋体" w:eastAsia="宋体" w:cs="宋体"/>
      <w:color w:val="000000"/>
      <w:sz w:val="21"/>
      <w:szCs w:val="21"/>
      <w:u w:val="none"/>
    </w:rPr>
  </w:style>
  <w:style w:type="character" w:customStyle="1" w:styleId="87">
    <w:name w:val="font121"/>
    <w:basedOn w:val="32"/>
    <w:qFormat/>
    <w:uiPriority w:val="0"/>
    <w:rPr>
      <w:rFonts w:hint="eastAsia" w:ascii="宋体" w:hAnsi="宋体" w:eastAsia="宋体" w:cs="宋体"/>
      <w:color w:val="FF0000"/>
      <w:sz w:val="21"/>
      <w:szCs w:val="21"/>
      <w:u w:val="none"/>
    </w:rPr>
  </w:style>
  <w:style w:type="paragraph" w:customStyle="1" w:styleId="88">
    <w:name w:val="cjk"/>
    <w:basedOn w:val="1"/>
    <w:qFormat/>
    <w:uiPriority w:val="0"/>
    <w:pPr>
      <w:widowControl/>
      <w:spacing w:before="100" w:beforeAutospacing="1" w:after="100" w:afterAutospacing="1"/>
      <w:jc w:val="left"/>
    </w:pPr>
    <w:rPr>
      <w:rFonts w:ascii="宋体" w:hAnsi="宋体" w:cs="宋体"/>
      <w:kern w:val="0"/>
    </w:rPr>
  </w:style>
  <w:style w:type="character" w:customStyle="1" w:styleId="89">
    <w:name w:val="NormalCharacter"/>
    <w:qFormat/>
    <w:uiPriority w:val="0"/>
  </w:style>
  <w:style w:type="character" w:customStyle="1" w:styleId="90">
    <w:name w:val="font51"/>
    <w:basedOn w:val="32"/>
    <w:qFormat/>
    <w:uiPriority w:val="0"/>
    <w:rPr>
      <w:rFonts w:ascii="苹方-简 常规体" w:hAnsi="苹方-简 常规体" w:eastAsia="苹方-简 常规体" w:cs="苹方-简 常规体"/>
      <w:color w:val="000000"/>
      <w:sz w:val="21"/>
      <w:szCs w:val="21"/>
      <w:u w:val="none"/>
    </w:rPr>
  </w:style>
  <w:style w:type="paragraph" w:customStyle="1" w:styleId="91">
    <w:name w:val="BodyText1I"/>
    <w:basedOn w:val="1"/>
    <w:qFormat/>
    <w:uiPriority w:val="0"/>
    <w:pPr>
      <w:spacing w:after="120"/>
      <w:ind w:firstLine="420" w:firstLineChars="100"/>
      <w:textAlignment w:val="baseline"/>
    </w:pPr>
    <w:rPr>
      <w:sz w:val="21"/>
    </w:rPr>
  </w:style>
  <w:style w:type="character" w:customStyle="1" w:styleId="92">
    <w:name w:val="font91"/>
    <w:basedOn w:val="32"/>
    <w:qFormat/>
    <w:uiPriority w:val="0"/>
    <w:rPr>
      <w:rFonts w:ascii="Calibri" w:hAnsi="Calibri" w:cs="Calibri"/>
      <w:color w:val="000000"/>
      <w:sz w:val="20"/>
      <w:szCs w:val="20"/>
      <w:u w:val="none"/>
    </w:rPr>
  </w:style>
  <w:style w:type="character" w:customStyle="1" w:styleId="93">
    <w:name w:val="font131"/>
    <w:basedOn w:val="32"/>
    <w:qFormat/>
    <w:uiPriority w:val="0"/>
    <w:rPr>
      <w:rFonts w:hint="default" w:ascii="Times New Roman" w:hAnsi="Times New Roman" w:cs="Times New Roman"/>
      <w:color w:val="000000"/>
      <w:sz w:val="20"/>
      <w:szCs w:val="20"/>
      <w:u w:val="none"/>
    </w:rPr>
  </w:style>
  <w:style w:type="character" w:customStyle="1" w:styleId="94">
    <w:name w:val="font111"/>
    <w:basedOn w:val="32"/>
    <w:qFormat/>
    <w:uiPriority w:val="0"/>
    <w:rPr>
      <w:rFonts w:ascii="Arial" w:hAnsi="Arial" w:cs="Arial"/>
      <w:color w:val="000000"/>
      <w:sz w:val="18"/>
      <w:szCs w:val="18"/>
      <w:u w:val="none"/>
    </w:rPr>
  </w:style>
  <w:style w:type="character" w:customStyle="1" w:styleId="95">
    <w:name w:val="font151"/>
    <w:basedOn w:val="32"/>
    <w:qFormat/>
    <w:uiPriority w:val="0"/>
    <w:rPr>
      <w:rFonts w:hint="default" w:ascii="Times New Roman" w:hAnsi="Times New Roman" w:cs="Times New Roman"/>
      <w:color w:val="000000"/>
      <w:sz w:val="20"/>
      <w:szCs w:val="20"/>
      <w:u w:val="none"/>
    </w:rPr>
  </w:style>
  <w:style w:type="paragraph" w:customStyle="1" w:styleId="96">
    <w:name w:val="TOC 标题1"/>
    <w:basedOn w:val="3"/>
    <w:next w:val="1"/>
    <w:semiHidden/>
    <w:unhideWhenUsed/>
    <w:qFormat/>
    <w:uiPriority w:val="39"/>
    <w:pPr>
      <w:keepLines/>
      <w:widowControl/>
      <w:spacing w:before="480" w:line="276" w:lineRule="auto"/>
      <w:ind w:firstLine="0" w:firstLineChars="0"/>
      <w:outlineLvl w:val="9"/>
    </w:pPr>
    <w:rPr>
      <w:rFonts w:asciiTheme="majorHAnsi" w:hAnsiTheme="majorHAnsi" w:eastAsiaTheme="majorEastAsia" w:cstheme="majorBidi"/>
      <w:bCs/>
      <w:color w:val="376092" w:themeColor="accent1" w:themeShade="BF"/>
      <w:kern w:val="0"/>
      <w:sz w:val="28"/>
      <w:szCs w:val="28"/>
    </w:rPr>
  </w:style>
  <w:style w:type="character" w:customStyle="1" w:styleId="97">
    <w:name w:val="正文文本缩进 2 Char"/>
    <w:basedOn w:val="32"/>
    <w:link w:val="16"/>
    <w:qFormat/>
    <w:uiPriority w:val="99"/>
    <w:rPr>
      <w:kern w:val="2"/>
      <w:sz w:val="24"/>
      <w:szCs w:val="24"/>
    </w:rPr>
  </w:style>
  <w:style w:type="character" w:customStyle="1" w:styleId="98">
    <w:name w:val="正文缩进 Char"/>
    <w:link w:val="7"/>
    <w:qFormat/>
    <w:uiPriority w:val="0"/>
    <w:rPr>
      <w:kern w:val="2"/>
      <w:sz w:val="24"/>
    </w:rPr>
  </w:style>
  <w:style w:type="paragraph" w:customStyle="1" w:styleId="99">
    <w:name w:val="正文格式"/>
    <w:basedOn w:val="1"/>
    <w:qFormat/>
    <w:uiPriority w:val="99"/>
    <w:pPr>
      <w:snapToGrid w:val="0"/>
      <w:spacing w:line="360" w:lineRule="auto"/>
      <w:ind w:firstLine="200" w:firstLineChars="200"/>
    </w:pPr>
    <w:rPr>
      <w:rFonts w:ascii="Calibri" w:hAnsi="Calibri"/>
      <w:szCs w:val="20"/>
    </w:rPr>
  </w:style>
  <w:style w:type="paragraph" w:customStyle="1" w:styleId="100">
    <w:name w:val="正文首行缩进1"/>
    <w:basedOn w:val="10"/>
    <w:qFormat/>
    <w:uiPriority w:val="0"/>
    <w:pPr>
      <w:spacing w:line="312" w:lineRule="auto"/>
      <w:ind w:firstLine="420"/>
    </w:pPr>
  </w:style>
  <w:style w:type="paragraph" w:customStyle="1" w:styleId="101">
    <w:name w:val="List Paragraph1"/>
    <w:basedOn w:val="1"/>
    <w:next w:val="1"/>
    <w:qFormat/>
    <w:uiPriority w:val="0"/>
    <w:pPr>
      <w:widowControl/>
      <w:spacing w:line="360" w:lineRule="auto"/>
      <w:ind w:firstLine="480" w:firstLineChars="200"/>
      <w:jc w:val="left"/>
    </w:pPr>
    <w:rPr>
      <w:rFonts w:ascii="宋体" w:hAnsi="宋体"/>
    </w:rPr>
  </w:style>
  <w:style w:type="table" w:customStyle="1" w:styleId="102">
    <w:name w:val="Table Normal"/>
    <w:semiHidden/>
    <w:unhideWhenUsed/>
    <w:qFormat/>
    <w:uiPriority w:val="2"/>
    <w:pPr>
      <w:widowControl w:val="0"/>
      <w:autoSpaceDE w:val="0"/>
      <w:autoSpaceDN w:val="0"/>
    </w:pPr>
    <w:rPr>
      <w:rFonts w:asciiTheme="minorHAnsi" w:hAnsiTheme="minorHAnsi" w:eastAsiaTheme="minorEastAsia" w:cstheme="minorBidi"/>
      <w:sz w:val="22"/>
      <w:lang w:eastAsia="en-US"/>
    </w:rPr>
    <w:tblPr>
      <w:tblCellMar>
        <w:top w:w="0" w:type="dxa"/>
        <w:left w:w="0" w:type="dxa"/>
        <w:bottom w:w="0" w:type="dxa"/>
        <w:right w:w="0" w:type="dxa"/>
      </w:tblCellMar>
    </w:tblPr>
  </w:style>
  <w:style w:type="table" w:customStyle="1" w:styleId="103">
    <w:name w:val="网格型1"/>
    <w:basedOn w:val="30"/>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4">
    <w:name w:val="标题 4 Char"/>
    <w:basedOn w:val="32"/>
    <w:link w:val="6"/>
    <w:semiHidden/>
    <w:qFormat/>
    <w:uiPriority w:val="0"/>
    <w:rPr>
      <w:rFonts w:ascii="Arial" w:hAnsi="Arial"/>
      <w:b/>
      <w:kern w:val="2"/>
      <w:sz w:val="24"/>
      <w:szCs w:val="22"/>
    </w:rPr>
  </w:style>
  <w:style w:type="character" w:customStyle="1" w:styleId="105">
    <w:name w:val="正文首行缩进 2 Char"/>
    <w:basedOn w:val="52"/>
    <w:link w:val="29"/>
    <w:qFormat/>
    <w:uiPriority w:val="0"/>
    <w:rPr>
      <w:rFonts w:ascii="Calibri" w:hAnsi="Calibri"/>
      <w:kern w:val="2"/>
      <w:sz w:val="24"/>
      <w:szCs w:val="24"/>
    </w:rPr>
  </w:style>
  <w:style w:type="table" w:customStyle="1" w:styleId="106">
    <w:name w:val="网格型2"/>
    <w:basedOn w:val="30"/>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7">
    <w:name w:val="网格型11"/>
    <w:basedOn w:val="30"/>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8">
    <w:name w:val="信息标题 Char"/>
    <w:basedOn w:val="32"/>
    <w:link w:val="23"/>
    <w:qFormat/>
    <w:uiPriority w:val="0"/>
    <w:rPr>
      <w:rFonts w:ascii="Arial" w:hAnsi="Arial"/>
      <w:kern w:val="2"/>
      <w:sz w:val="24"/>
      <w:szCs w:val="24"/>
      <w:shd w:val="pct20" w:color="auto" w:fill="auto"/>
    </w:rPr>
  </w:style>
  <w:style w:type="paragraph" w:customStyle="1" w:styleId="109">
    <w:name w:val="中等深浅网格 1 - 强调文字颜色 21"/>
    <w:qFormat/>
    <w:uiPriority w:val="0"/>
    <w:pPr>
      <w:widowControl w:val="0"/>
      <w:ind w:firstLine="420" w:firstLineChars="200"/>
      <w:jc w:val="both"/>
    </w:pPr>
    <w:rPr>
      <w:rFonts w:ascii="Times New Roman" w:hAnsi="Times New Roman" w:eastAsia="宋体" w:cs="Times New Roman"/>
      <w:lang w:val="en-US" w:eastAsia="zh-CN" w:bidi="ar-SA"/>
    </w:rPr>
  </w:style>
  <w:style w:type="paragraph" w:customStyle="1" w:styleId="110">
    <w:name w:val="TOC 标题2"/>
    <w:basedOn w:val="3"/>
    <w:next w:val="1"/>
    <w:semiHidden/>
    <w:unhideWhenUsed/>
    <w:qFormat/>
    <w:uiPriority w:val="39"/>
    <w:pPr>
      <w:keepLines/>
      <w:widowControl/>
      <w:spacing w:before="480" w:line="276" w:lineRule="auto"/>
      <w:ind w:firstLine="0" w:firstLineChars="0"/>
      <w:outlineLvl w:val="9"/>
    </w:pPr>
    <w:rPr>
      <w:rFonts w:asciiTheme="majorHAnsi" w:hAnsiTheme="majorHAnsi" w:eastAsiaTheme="majorEastAsia" w:cstheme="majorBidi"/>
      <w:bCs/>
      <w:color w:val="376092" w:themeColor="accent1" w:themeShade="BF"/>
      <w:kern w:val="0"/>
      <w:sz w:val="28"/>
      <w:szCs w:val="28"/>
    </w:rPr>
  </w:style>
  <w:style w:type="paragraph" w:customStyle="1" w:styleId="11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112">
    <w:name w:val="layui-laypage-curr"/>
    <w:basedOn w:val="32"/>
    <w:qFormat/>
    <w:uiPriority w:val="0"/>
  </w:style>
  <w:style w:type="character" w:customStyle="1" w:styleId="113">
    <w:name w:val="color-blue"/>
    <w:basedOn w:val="32"/>
    <w:qFormat/>
    <w:uiPriority w:val="0"/>
    <w:rPr>
      <w:color w:val="1890FF"/>
      <w:sz w:val="18"/>
      <w:szCs w:val="18"/>
      <w:bdr w:val="single" w:color="1890FF" w:sz="6" w:space="0"/>
    </w:rPr>
  </w:style>
  <w:style w:type="character" w:customStyle="1" w:styleId="114">
    <w:name w:val="color-yellow"/>
    <w:basedOn w:val="32"/>
    <w:qFormat/>
    <w:uiPriority w:val="0"/>
    <w:rPr>
      <w:color w:val="FAAD14"/>
      <w:sz w:val="18"/>
      <w:szCs w:val="18"/>
      <w:bdr w:val="single" w:color="FAAD14" w:sz="6" w:space="0"/>
    </w:rPr>
  </w:style>
  <w:style w:type="character" w:customStyle="1" w:styleId="115">
    <w:name w:val="color-yellow1"/>
    <w:basedOn w:val="32"/>
    <w:qFormat/>
    <w:uiPriority w:val="0"/>
    <w:rPr>
      <w:color w:val="FAAD14"/>
      <w:sz w:val="18"/>
      <w:szCs w:val="18"/>
      <w:bdr w:val="single" w:color="FAAD14" w:sz="6" w:space="0"/>
    </w:rPr>
  </w:style>
  <w:style w:type="character" w:customStyle="1" w:styleId="116">
    <w:name w:val="first-child1"/>
    <w:basedOn w:val="32"/>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2.png"/><Relationship Id="rId23" Type="http://schemas.openxmlformats.org/officeDocument/2006/relationships/image" Target="media/image11.png"/><Relationship Id="rId22" Type="http://schemas.openxmlformats.org/officeDocument/2006/relationships/image" Target="media/image10.png"/><Relationship Id="rId21" Type="http://schemas.openxmlformats.org/officeDocument/2006/relationships/image" Target="media/image9.pn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84</Pages>
  <Words>11740</Words>
  <Characters>12527</Characters>
  <Lines>71</Lines>
  <Paragraphs>88</Paragraphs>
  <TotalTime>6</TotalTime>
  <ScaleCrop>false</ScaleCrop>
  <LinksUpToDate>false</LinksUpToDate>
  <CharactersWithSpaces>12993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2020-11-19T15:35:00Z</dcterms:created>
  <dc:creator>开疆拓土</dc:creator>
  <cp:lastModifiedBy>开疆拓土</cp:lastModifiedBy>
  <cp:lastPrinted>2026-07-13T03:18:00Z</cp:lastPrinted>
  <dcterms:modified xsi:type="dcterms:W3CDTF">2026-07-24T04:56:19Z</dcterms:modified>
  <cp:revision>753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2D25B1D20F8E404BB597A7305418AE2D_13</vt:lpwstr>
  </property>
  <property fmtid="{D5CDD505-2E9C-101B-9397-08002B2CF9AE}" pid="4" name="KSOTemplateDocerSaveRecord">
    <vt:lpwstr>eyJoZGlkIjoiNWRiNjlkMDEyM2YzNzMyMWVjMjQzNDdlNDY3MTYwMDQiLCJ1c2VySWQiOiIyODIxMzYxNjIifQ==</vt:lpwstr>
  </property>
</Properties>
</file>